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A7" w:rsidRPr="00B412A8" w:rsidRDefault="006A75A7" w:rsidP="00B76FD4">
      <w:pPr>
        <w:ind w:left="709"/>
        <w:jc w:val="center"/>
        <w:rPr>
          <w:b/>
          <w:color w:val="auto"/>
        </w:rPr>
      </w:pPr>
      <w:r w:rsidRPr="00B412A8">
        <w:rPr>
          <w:b/>
          <w:color w:val="auto"/>
        </w:rPr>
        <w:t>Профилактика предупреждения нарушений налогового законодательства. Добровольное уточнение налогоплательщиками своих налоговых обязательств</w:t>
      </w:r>
    </w:p>
    <w:p w:rsidR="006A75A7" w:rsidRPr="004379EC" w:rsidRDefault="006A75A7" w:rsidP="00B76FD4">
      <w:pPr>
        <w:ind w:left="709"/>
        <w:jc w:val="center"/>
        <w:rPr>
          <w:color w:val="auto"/>
          <w:sz w:val="28"/>
          <w:szCs w:val="28"/>
        </w:rPr>
      </w:pPr>
    </w:p>
    <w:p w:rsidR="00B412A8" w:rsidRDefault="00B412A8" w:rsidP="00B412A8">
      <w:pPr>
        <w:ind w:firstLine="708"/>
        <w:jc w:val="center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Доклад А.Ю.Малькова</w:t>
      </w:r>
      <w:bookmarkStart w:id="0" w:name="_GoBack"/>
      <w:bookmarkEnd w:id="0"/>
    </w:p>
    <w:p w:rsidR="00B412A8" w:rsidRDefault="00B412A8" w:rsidP="006A75A7">
      <w:pPr>
        <w:ind w:firstLine="708"/>
        <w:jc w:val="both"/>
        <w:rPr>
          <w:color w:val="auto"/>
          <w:sz w:val="27"/>
          <w:szCs w:val="27"/>
        </w:rPr>
      </w:pPr>
    </w:p>
    <w:p w:rsidR="006A75A7" w:rsidRPr="004379EC" w:rsidRDefault="006A75A7" w:rsidP="006A75A7">
      <w:pPr>
        <w:ind w:firstLine="708"/>
        <w:jc w:val="both"/>
        <w:rPr>
          <w:color w:val="auto"/>
          <w:sz w:val="27"/>
          <w:szCs w:val="27"/>
        </w:rPr>
      </w:pPr>
      <w:r w:rsidRPr="004379EC">
        <w:rPr>
          <w:color w:val="auto"/>
          <w:sz w:val="27"/>
          <w:szCs w:val="27"/>
        </w:rPr>
        <w:t>В последние годы в работе налоговых органов произошел существенный сдвиг в плане контрольной работы. Приоритетной работой признается не проведение налоговых проверок в отношении налогоплательщиков, а побуждение их к самостоятельной оценке имеющихся рисков нарушения налогового законодательства и к уплате налогов в размерах, реально соответствующих объемам и способам ведения бизнеса.</w:t>
      </w:r>
    </w:p>
    <w:p w:rsidR="006A75A7" w:rsidRPr="004379EC" w:rsidRDefault="006A75A7" w:rsidP="006A75A7">
      <w:pPr>
        <w:ind w:firstLine="708"/>
        <w:jc w:val="both"/>
        <w:rPr>
          <w:color w:val="auto"/>
          <w:sz w:val="27"/>
          <w:szCs w:val="27"/>
        </w:rPr>
      </w:pPr>
      <w:r w:rsidRPr="004379EC">
        <w:rPr>
          <w:color w:val="auto"/>
          <w:sz w:val="27"/>
          <w:szCs w:val="27"/>
        </w:rPr>
        <w:t>При этом следует иметь в виду, что определенная категория налогоплательщиков изначально не настроена на добросовестную уплату налогов. Такие налогоплательщики применяют в своей работе разнообразные схемы уклонения от налогообложения, в том числе с привлечением специально организованных «транзитных» организаций</w:t>
      </w:r>
      <w:r w:rsidR="004C4AC6" w:rsidRPr="004379EC">
        <w:rPr>
          <w:color w:val="auto"/>
          <w:sz w:val="27"/>
          <w:szCs w:val="27"/>
        </w:rPr>
        <w:t xml:space="preserve"> (фирм – «однодневок»)</w:t>
      </w:r>
      <w:r w:rsidRPr="004379EC">
        <w:rPr>
          <w:color w:val="auto"/>
          <w:sz w:val="27"/>
          <w:szCs w:val="27"/>
        </w:rPr>
        <w:t>, симулирующих осуществление реальной хозяйственной деятельности и созданных исключительно для участия в схемных операциях.</w:t>
      </w:r>
    </w:p>
    <w:p w:rsidR="00FC46D5" w:rsidRPr="004379EC" w:rsidRDefault="00FC46D5" w:rsidP="006A75A7">
      <w:pPr>
        <w:ind w:firstLine="708"/>
        <w:jc w:val="both"/>
        <w:rPr>
          <w:color w:val="auto"/>
          <w:sz w:val="27"/>
          <w:szCs w:val="27"/>
        </w:rPr>
      </w:pPr>
      <w:proofErr w:type="gramStart"/>
      <w:r w:rsidRPr="004379EC">
        <w:rPr>
          <w:color w:val="auto"/>
          <w:sz w:val="27"/>
          <w:szCs w:val="27"/>
        </w:rPr>
        <w:t xml:space="preserve">Такие организации, не уплачивая налоги, создают формальные основания для иных лиц – пользователей схем для занижения ими налоговых обязательств, а также для незаконного </w:t>
      </w:r>
      <w:proofErr w:type="spellStart"/>
      <w:r w:rsidRPr="004379EC">
        <w:rPr>
          <w:color w:val="auto"/>
          <w:sz w:val="27"/>
          <w:szCs w:val="27"/>
        </w:rPr>
        <w:t>обналичивания</w:t>
      </w:r>
      <w:proofErr w:type="spellEnd"/>
      <w:r w:rsidRPr="004379EC">
        <w:rPr>
          <w:color w:val="auto"/>
          <w:sz w:val="27"/>
          <w:szCs w:val="27"/>
        </w:rPr>
        <w:t xml:space="preserve"> денежных средств.</w:t>
      </w:r>
      <w:proofErr w:type="gramEnd"/>
    </w:p>
    <w:p w:rsidR="006A75A7" w:rsidRPr="004379EC" w:rsidRDefault="004C4AC6" w:rsidP="006A75A7">
      <w:pPr>
        <w:ind w:firstLine="708"/>
        <w:jc w:val="both"/>
        <w:rPr>
          <w:color w:val="auto"/>
          <w:sz w:val="27"/>
          <w:szCs w:val="27"/>
        </w:rPr>
      </w:pPr>
      <w:r w:rsidRPr="004379EC">
        <w:rPr>
          <w:color w:val="auto"/>
          <w:sz w:val="27"/>
          <w:szCs w:val="27"/>
        </w:rPr>
        <w:t>Поэтому профилактическая работа налоговых органов, направленная только на пресечение использования таких «транзитных» организаций, была бы неполной и односторонней. Необходимо создать условия, в которых само существование «однодневок» было бы невозможным или максимально затрудненным.</w:t>
      </w:r>
    </w:p>
    <w:p w:rsidR="004C4AC6" w:rsidRPr="004379EC" w:rsidRDefault="00B26A27" w:rsidP="006A75A7">
      <w:pPr>
        <w:ind w:firstLine="708"/>
        <w:jc w:val="both"/>
        <w:rPr>
          <w:color w:val="auto"/>
          <w:sz w:val="27"/>
          <w:szCs w:val="27"/>
        </w:rPr>
      </w:pPr>
      <w:r w:rsidRPr="004379EC">
        <w:rPr>
          <w:color w:val="auto"/>
          <w:sz w:val="27"/>
          <w:szCs w:val="27"/>
        </w:rPr>
        <w:t xml:space="preserve">Любая работа требует оценки ее эффективности. </w:t>
      </w:r>
      <w:r w:rsidR="004C4AC6" w:rsidRPr="004379EC">
        <w:rPr>
          <w:color w:val="auto"/>
          <w:sz w:val="27"/>
          <w:szCs w:val="27"/>
        </w:rPr>
        <w:t xml:space="preserve">Результат </w:t>
      </w:r>
      <w:r w:rsidRPr="004379EC">
        <w:rPr>
          <w:color w:val="auto"/>
          <w:sz w:val="27"/>
          <w:szCs w:val="27"/>
        </w:rPr>
        <w:t xml:space="preserve">описываемой </w:t>
      </w:r>
      <w:r w:rsidR="004C4AC6" w:rsidRPr="004379EC">
        <w:rPr>
          <w:color w:val="auto"/>
          <w:sz w:val="27"/>
          <w:szCs w:val="27"/>
        </w:rPr>
        <w:t xml:space="preserve"> работы </w:t>
      </w:r>
      <w:r w:rsidRPr="004379EC">
        <w:rPr>
          <w:color w:val="auto"/>
          <w:sz w:val="27"/>
          <w:szCs w:val="27"/>
        </w:rPr>
        <w:t>оценивается показателем, который в налоговых органах принято называть «чистота среды». Данный показатель связан с администрированием налога на добавленную стоимость и рассчитывается как доля «схемных» налоговых вычетов в общей сумме налоговых вычетов по НДС</w:t>
      </w:r>
      <w:r w:rsidR="00FC46D5" w:rsidRPr="004379EC">
        <w:rPr>
          <w:color w:val="auto"/>
          <w:sz w:val="27"/>
          <w:szCs w:val="27"/>
        </w:rPr>
        <w:t xml:space="preserve"> (доля расхождений)</w:t>
      </w:r>
      <w:r w:rsidRPr="004379EC">
        <w:rPr>
          <w:color w:val="auto"/>
          <w:sz w:val="27"/>
          <w:szCs w:val="27"/>
        </w:rPr>
        <w:t>. Экономический смысл данного показателя (уп</w:t>
      </w:r>
      <w:r w:rsidR="00634034" w:rsidRPr="004379EC">
        <w:rPr>
          <w:color w:val="auto"/>
          <w:sz w:val="27"/>
          <w:szCs w:val="27"/>
        </w:rPr>
        <w:t xml:space="preserve">рощенно,  конечно) -  это доля налога, не поступающего в бюджет вследствие применения схем по уходу от налогообложения. </w:t>
      </w:r>
    </w:p>
    <w:p w:rsidR="00B26A27" w:rsidRPr="004379EC" w:rsidRDefault="00B26A27" w:rsidP="006A75A7">
      <w:pPr>
        <w:ind w:firstLine="708"/>
        <w:jc w:val="both"/>
        <w:rPr>
          <w:color w:val="auto"/>
          <w:sz w:val="27"/>
          <w:szCs w:val="27"/>
        </w:rPr>
      </w:pPr>
    </w:p>
    <w:p w:rsidR="00B26A27" w:rsidRPr="004379EC" w:rsidRDefault="00B26A27" w:rsidP="00B26A27">
      <w:pPr>
        <w:ind w:firstLine="708"/>
        <w:jc w:val="both"/>
        <w:rPr>
          <w:b/>
          <w:color w:val="auto"/>
          <w:sz w:val="27"/>
          <w:szCs w:val="27"/>
        </w:rPr>
      </w:pPr>
      <w:r w:rsidRPr="004379EC">
        <w:rPr>
          <w:color w:val="auto"/>
          <w:sz w:val="27"/>
          <w:szCs w:val="27"/>
        </w:rPr>
        <w:t xml:space="preserve">Динамика </w:t>
      </w:r>
      <w:r w:rsidR="00FC46D5" w:rsidRPr="004379EC">
        <w:rPr>
          <w:color w:val="auto"/>
          <w:sz w:val="27"/>
          <w:szCs w:val="27"/>
        </w:rPr>
        <w:t xml:space="preserve">доли расхождений в 2018-2019 годах представлена на </w:t>
      </w:r>
      <w:r w:rsidR="00FC46D5" w:rsidRPr="004379EC">
        <w:rPr>
          <w:b/>
          <w:color w:val="auto"/>
          <w:sz w:val="27"/>
          <w:szCs w:val="27"/>
        </w:rPr>
        <w:t xml:space="preserve">Слайде 1 </w:t>
      </w:r>
    </w:p>
    <w:p w:rsidR="00B26A27" w:rsidRPr="004379EC" w:rsidRDefault="00B26A27" w:rsidP="00B26A27">
      <w:pPr>
        <w:ind w:firstLine="708"/>
        <w:jc w:val="both"/>
        <w:rPr>
          <w:color w:val="auto"/>
          <w:sz w:val="27"/>
          <w:szCs w:val="27"/>
        </w:rPr>
      </w:pPr>
      <w:r w:rsidRPr="004379EC">
        <w:rPr>
          <w:color w:val="auto"/>
          <w:sz w:val="27"/>
          <w:szCs w:val="27"/>
        </w:rPr>
        <w:t>Если по состоянию на 01.0</w:t>
      </w:r>
      <w:r w:rsidR="00846E63" w:rsidRPr="004379EC">
        <w:rPr>
          <w:color w:val="auto"/>
          <w:sz w:val="27"/>
          <w:szCs w:val="27"/>
        </w:rPr>
        <w:t>11</w:t>
      </w:r>
      <w:r w:rsidRPr="004379EC">
        <w:rPr>
          <w:color w:val="auto"/>
          <w:sz w:val="27"/>
          <w:szCs w:val="27"/>
        </w:rPr>
        <w:t>.2018 года доля расхождений в сумме налоговых вычетов составляла 0,49%, то по состоянию на 01.</w:t>
      </w:r>
      <w:r w:rsidR="00846E63" w:rsidRPr="004379EC">
        <w:rPr>
          <w:color w:val="auto"/>
          <w:sz w:val="27"/>
          <w:szCs w:val="27"/>
        </w:rPr>
        <w:t>11</w:t>
      </w:r>
      <w:r w:rsidRPr="004379EC">
        <w:rPr>
          <w:color w:val="auto"/>
          <w:sz w:val="27"/>
          <w:szCs w:val="27"/>
        </w:rPr>
        <w:t xml:space="preserve">.2019 года она составила 0,45%. Таким образом, в абсолютных показателях ситуация </w:t>
      </w:r>
      <w:r w:rsidR="00FC46D5" w:rsidRPr="004379EC">
        <w:rPr>
          <w:color w:val="auto"/>
          <w:sz w:val="27"/>
          <w:szCs w:val="27"/>
        </w:rPr>
        <w:t>в области улучшилась</w:t>
      </w:r>
      <w:r w:rsidRPr="004379EC">
        <w:rPr>
          <w:color w:val="auto"/>
          <w:sz w:val="27"/>
          <w:szCs w:val="27"/>
        </w:rPr>
        <w:t>, особенно с учетом общероссийского показателя, который по состоянию на аналогичные даты  вырос с 0,57% до 0,63 процентов.</w:t>
      </w:r>
    </w:p>
    <w:p w:rsidR="006A75A7" w:rsidRPr="004379EC" w:rsidRDefault="006A75A7" w:rsidP="00B76FD4">
      <w:pPr>
        <w:ind w:left="709"/>
        <w:jc w:val="center"/>
        <w:rPr>
          <w:color w:val="auto"/>
          <w:sz w:val="28"/>
          <w:szCs w:val="28"/>
        </w:rPr>
      </w:pPr>
    </w:p>
    <w:p w:rsidR="006A75A7" w:rsidRPr="004379EC" w:rsidRDefault="00FC46D5" w:rsidP="00FC46D5">
      <w:pPr>
        <w:ind w:firstLine="708"/>
        <w:jc w:val="both"/>
        <w:rPr>
          <w:color w:val="auto"/>
          <w:sz w:val="27"/>
          <w:szCs w:val="27"/>
        </w:rPr>
      </w:pPr>
      <w:r w:rsidRPr="004379EC">
        <w:rPr>
          <w:color w:val="auto"/>
          <w:sz w:val="27"/>
          <w:szCs w:val="27"/>
        </w:rPr>
        <w:t>Работа налоговых органов области по повышению чистоты среды в регионе проводится по следующим основным направлениям:</w:t>
      </w:r>
    </w:p>
    <w:p w:rsidR="00F71C85" w:rsidRPr="004379EC" w:rsidRDefault="00F71C85" w:rsidP="00110268">
      <w:pPr>
        <w:ind w:firstLine="708"/>
        <w:jc w:val="both"/>
        <w:rPr>
          <w:color w:val="auto"/>
          <w:sz w:val="27"/>
          <w:szCs w:val="27"/>
        </w:rPr>
      </w:pPr>
    </w:p>
    <w:p w:rsidR="00F71C85" w:rsidRPr="004379EC" w:rsidRDefault="00FC46D5" w:rsidP="00F71C85">
      <w:pPr>
        <w:pStyle w:val="ab"/>
        <w:numPr>
          <w:ilvl w:val="0"/>
          <w:numId w:val="7"/>
        </w:numPr>
        <w:ind w:left="426" w:firstLine="282"/>
        <w:jc w:val="both"/>
        <w:rPr>
          <w:color w:val="auto"/>
          <w:sz w:val="27"/>
          <w:szCs w:val="27"/>
        </w:rPr>
      </w:pPr>
      <w:r w:rsidRPr="004379EC">
        <w:rPr>
          <w:color w:val="auto"/>
          <w:sz w:val="27"/>
          <w:szCs w:val="27"/>
        </w:rPr>
        <w:t>Прот</w:t>
      </w:r>
      <w:r w:rsidR="00F223EF" w:rsidRPr="004379EC">
        <w:rPr>
          <w:color w:val="auto"/>
          <w:sz w:val="27"/>
          <w:szCs w:val="27"/>
        </w:rPr>
        <w:t>и</w:t>
      </w:r>
      <w:r w:rsidRPr="004379EC">
        <w:rPr>
          <w:color w:val="auto"/>
          <w:sz w:val="27"/>
          <w:szCs w:val="27"/>
        </w:rPr>
        <w:t>водействие незаконной миграции на территорию региона</w:t>
      </w:r>
      <w:r w:rsidR="00F71C85" w:rsidRPr="004379EC">
        <w:rPr>
          <w:color w:val="auto"/>
          <w:sz w:val="27"/>
          <w:szCs w:val="27"/>
        </w:rPr>
        <w:t xml:space="preserve"> </w:t>
      </w:r>
    </w:p>
    <w:p w:rsidR="00F71C85" w:rsidRPr="004379EC" w:rsidRDefault="00F71C85" w:rsidP="00F71C85">
      <w:pPr>
        <w:jc w:val="both"/>
        <w:rPr>
          <w:color w:val="auto"/>
          <w:sz w:val="27"/>
          <w:szCs w:val="27"/>
        </w:rPr>
      </w:pPr>
    </w:p>
    <w:p w:rsidR="00FC46D5" w:rsidRPr="004379EC" w:rsidRDefault="00FC46D5" w:rsidP="00F71C85">
      <w:pPr>
        <w:ind w:firstLine="708"/>
        <w:jc w:val="both"/>
        <w:rPr>
          <w:color w:val="auto"/>
          <w:sz w:val="27"/>
          <w:szCs w:val="27"/>
        </w:rPr>
      </w:pPr>
      <w:r w:rsidRPr="004379EC">
        <w:rPr>
          <w:color w:val="auto"/>
          <w:sz w:val="27"/>
          <w:szCs w:val="27"/>
        </w:rPr>
        <w:t xml:space="preserve">Под незаконной миграцией мы понимаем изменение места регистрации юридических лиц, не связанная с изменениями в их хозяйственной деятельности </w:t>
      </w:r>
      <w:r w:rsidRPr="004379EC">
        <w:rPr>
          <w:color w:val="auto"/>
          <w:sz w:val="27"/>
          <w:szCs w:val="27"/>
        </w:rPr>
        <w:lastRenderedPageBreak/>
        <w:t>(например, изменение рынков сбыта или источников сырья), а направленное на затруднение налогового администрирования.</w:t>
      </w:r>
    </w:p>
    <w:p w:rsidR="00F223EF" w:rsidRPr="004379EC" w:rsidRDefault="00FC46D5" w:rsidP="00F71C85">
      <w:pPr>
        <w:ind w:firstLine="708"/>
        <w:jc w:val="both"/>
        <w:rPr>
          <w:color w:val="auto"/>
          <w:sz w:val="27"/>
          <w:szCs w:val="27"/>
        </w:rPr>
      </w:pPr>
      <w:r w:rsidRPr="004379EC">
        <w:rPr>
          <w:color w:val="auto"/>
          <w:sz w:val="27"/>
          <w:szCs w:val="27"/>
        </w:rPr>
        <w:t>Как правило, речь в таких случаях идет именно о «транзитных» организациях, которые п</w:t>
      </w:r>
      <w:r w:rsidR="00F71C85" w:rsidRPr="004379EC">
        <w:rPr>
          <w:color w:val="auto"/>
          <w:sz w:val="27"/>
          <w:szCs w:val="27"/>
        </w:rPr>
        <w:t xml:space="preserve">ри </w:t>
      </w:r>
      <w:r w:rsidRPr="004379EC">
        <w:rPr>
          <w:color w:val="auto"/>
          <w:sz w:val="27"/>
          <w:szCs w:val="27"/>
        </w:rPr>
        <w:t xml:space="preserve">«миграции» вносят </w:t>
      </w:r>
      <w:r w:rsidR="00F71C85" w:rsidRPr="004379EC">
        <w:rPr>
          <w:color w:val="auto"/>
          <w:sz w:val="27"/>
          <w:szCs w:val="27"/>
        </w:rPr>
        <w:t>определенный негативный вклад в общую накопленную сумму расхождений</w:t>
      </w:r>
      <w:r w:rsidR="00F223EF" w:rsidRPr="004379EC">
        <w:rPr>
          <w:color w:val="auto"/>
          <w:sz w:val="27"/>
          <w:szCs w:val="27"/>
        </w:rPr>
        <w:t>.</w:t>
      </w:r>
    </w:p>
    <w:p w:rsidR="00F71C85" w:rsidRPr="004379EC" w:rsidRDefault="00F223EF" w:rsidP="00F223EF">
      <w:pPr>
        <w:ind w:firstLine="708"/>
        <w:jc w:val="both"/>
        <w:rPr>
          <w:color w:val="auto"/>
          <w:sz w:val="27"/>
          <w:szCs w:val="27"/>
        </w:rPr>
      </w:pPr>
      <w:r w:rsidRPr="004379EC">
        <w:rPr>
          <w:color w:val="auto"/>
          <w:sz w:val="27"/>
          <w:szCs w:val="27"/>
        </w:rPr>
        <w:t xml:space="preserve">Всего </w:t>
      </w:r>
      <w:r w:rsidR="00F71C85" w:rsidRPr="004379EC">
        <w:rPr>
          <w:color w:val="auto"/>
          <w:sz w:val="27"/>
          <w:szCs w:val="27"/>
        </w:rPr>
        <w:t>организаци</w:t>
      </w:r>
      <w:r w:rsidRPr="004379EC">
        <w:rPr>
          <w:color w:val="auto"/>
          <w:sz w:val="27"/>
          <w:szCs w:val="27"/>
        </w:rPr>
        <w:t>й</w:t>
      </w:r>
      <w:r w:rsidR="00F71C85" w:rsidRPr="004379EC">
        <w:rPr>
          <w:color w:val="auto"/>
          <w:sz w:val="27"/>
          <w:szCs w:val="27"/>
        </w:rPr>
        <w:t>, сменившие места регистрации в других регионах на Новгородскую область</w:t>
      </w:r>
      <w:r w:rsidRPr="004379EC">
        <w:rPr>
          <w:color w:val="auto"/>
          <w:sz w:val="27"/>
          <w:szCs w:val="27"/>
        </w:rPr>
        <w:t>, з</w:t>
      </w:r>
      <w:r w:rsidR="00F71C85" w:rsidRPr="004379EC">
        <w:rPr>
          <w:color w:val="auto"/>
          <w:sz w:val="27"/>
          <w:szCs w:val="27"/>
        </w:rPr>
        <w:t xml:space="preserve">а период с 1 июля 2017 года насчитывается </w:t>
      </w:r>
      <w:r w:rsidR="009E20C1" w:rsidRPr="004379EC">
        <w:rPr>
          <w:color w:val="auto"/>
          <w:sz w:val="27"/>
          <w:szCs w:val="27"/>
        </w:rPr>
        <w:t xml:space="preserve">72. Из них расхождения в налоговых декларациях по НДС зафиксированы в отношении 13 организаций </w:t>
      </w:r>
      <w:r w:rsidR="00A82A57" w:rsidRPr="004379EC">
        <w:rPr>
          <w:color w:val="auto"/>
          <w:sz w:val="27"/>
          <w:szCs w:val="27"/>
        </w:rPr>
        <w:t xml:space="preserve">(18%) </w:t>
      </w:r>
      <w:r w:rsidR="009E20C1" w:rsidRPr="004379EC">
        <w:rPr>
          <w:color w:val="auto"/>
          <w:sz w:val="27"/>
          <w:szCs w:val="27"/>
        </w:rPr>
        <w:t>на общую сумму 14,4 млн. рублей</w:t>
      </w:r>
      <w:r w:rsidR="00912193" w:rsidRPr="004379EC">
        <w:rPr>
          <w:color w:val="auto"/>
          <w:sz w:val="27"/>
          <w:szCs w:val="27"/>
        </w:rPr>
        <w:t xml:space="preserve">. </w:t>
      </w:r>
    </w:p>
    <w:p w:rsidR="0088735E" w:rsidRPr="004379EC" w:rsidRDefault="00F223EF" w:rsidP="00F71C85">
      <w:pPr>
        <w:ind w:firstLine="708"/>
        <w:jc w:val="both"/>
        <w:rPr>
          <w:color w:val="auto"/>
          <w:sz w:val="27"/>
          <w:szCs w:val="27"/>
        </w:rPr>
      </w:pPr>
      <w:r w:rsidRPr="004379EC">
        <w:rPr>
          <w:color w:val="auto"/>
          <w:sz w:val="27"/>
          <w:szCs w:val="27"/>
        </w:rPr>
        <w:t>В целях противодействия незаконной миграции налоговыми органами при поступлении заявлений от юридических лиц о смене их места нахождения проводится комплекс проверочных мероприятий, основными их которых являются проверки адресов, на регистрацию по которым подаются заявления, а также проведение опросов должностных лиц организаций-мигрантов.</w:t>
      </w:r>
    </w:p>
    <w:p w:rsidR="00F223EF" w:rsidRPr="004379EC" w:rsidRDefault="00F223EF" w:rsidP="00F71C85">
      <w:pPr>
        <w:ind w:firstLine="708"/>
        <w:jc w:val="both"/>
        <w:rPr>
          <w:color w:val="auto"/>
          <w:sz w:val="27"/>
          <w:szCs w:val="27"/>
        </w:rPr>
      </w:pPr>
      <w:r w:rsidRPr="004379EC">
        <w:rPr>
          <w:color w:val="auto"/>
          <w:sz w:val="27"/>
          <w:szCs w:val="27"/>
        </w:rPr>
        <w:t>Хочу отметить, что для добросовестных налогоплательщиков такие мероприятия ни в коей мере не могут создавать затруднения: если помещение по адресу действительно существует и его собственник подтверждает предоставление помещения налогоплательщику, тем более</w:t>
      </w:r>
      <w:r w:rsidR="00B4269F" w:rsidRPr="004379EC">
        <w:rPr>
          <w:color w:val="auto"/>
          <w:sz w:val="27"/>
          <w:szCs w:val="27"/>
        </w:rPr>
        <w:t>,</w:t>
      </w:r>
      <w:r w:rsidRPr="004379EC">
        <w:rPr>
          <w:color w:val="auto"/>
          <w:sz w:val="27"/>
          <w:szCs w:val="27"/>
        </w:rPr>
        <w:t xml:space="preserve"> если это помещение или здание принадлежит непосредственно налогоплательщику, никаких вопросов со стороны налоговых органом не возникает. Также мы полагаем, что реальному должностному лицу, осуществляющему руководство организацией, не должно </w:t>
      </w:r>
      <w:proofErr w:type="gramStart"/>
      <w:r w:rsidRPr="004379EC">
        <w:rPr>
          <w:color w:val="auto"/>
          <w:sz w:val="27"/>
          <w:szCs w:val="27"/>
        </w:rPr>
        <w:t>составить труда ответить</w:t>
      </w:r>
      <w:proofErr w:type="gramEnd"/>
      <w:r w:rsidRPr="004379EC">
        <w:rPr>
          <w:color w:val="auto"/>
          <w:sz w:val="27"/>
          <w:szCs w:val="27"/>
        </w:rPr>
        <w:t xml:space="preserve"> на несколько вопросов, касающихся организации его бизнеса.  Повторюсь, вопросы носят общий характер и не направлены на </w:t>
      </w:r>
      <w:r w:rsidR="00B4269F" w:rsidRPr="004379EC">
        <w:rPr>
          <w:color w:val="auto"/>
          <w:sz w:val="27"/>
          <w:szCs w:val="27"/>
        </w:rPr>
        <w:t>раскрытие какой-либо коммерческой тайны.</w:t>
      </w:r>
    </w:p>
    <w:p w:rsidR="00B4269F" w:rsidRPr="004379EC" w:rsidRDefault="00B4269F" w:rsidP="00F71C85">
      <w:pPr>
        <w:ind w:firstLine="708"/>
        <w:jc w:val="both"/>
        <w:rPr>
          <w:color w:val="auto"/>
          <w:sz w:val="27"/>
          <w:szCs w:val="27"/>
        </w:rPr>
      </w:pPr>
      <w:r w:rsidRPr="004379EC">
        <w:rPr>
          <w:color w:val="auto"/>
          <w:sz w:val="27"/>
          <w:szCs w:val="27"/>
        </w:rPr>
        <w:t xml:space="preserve">Такая мера направлены исключительно на выявление лиц, являющихся номинальными руководителями «транзитных» организаций. </w:t>
      </w:r>
    </w:p>
    <w:p w:rsidR="00BF7413" w:rsidRPr="004379EC" w:rsidRDefault="007E1101" w:rsidP="00F71C85">
      <w:pPr>
        <w:ind w:firstLine="708"/>
        <w:jc w:val="both"/>
        <w:rPr>
          <w:color w:val="auto"/>
          <w:sz w:val="27"/>
          <w:szCs w:val="27"/>
        </w:rPr>
      </w:pPr>
      <w:r w:rsidRPr="004379EC">
        <w:rPr>
          <w:color w:val="auto"/>
          <w:sz w:val="27"/>
          <w:szCs w:val="27"/>
        </w:rPr>
        <w:t xml:space="preserve">Результаты проводимой работы позволяют говорить о сокращении </w:t>
      </w:r>
      <w:r w:rsidR="00E53137" w:rsidRPr="004379EC">
        <w:rPr>
          <w:color w:val="auto"/>
          <w:sz w:val="27"/>
          <w:szCs w:val="27"/>
        </w:rPr>
        <w:t>незаконной миграции.</w:t>
      </w:r>
    </w:p>
    <w:p w:rsidR="007E1101" w:rsidRPr="004379EC" w:rsidRDefault="007E1101" w:rsidP="00E53137">
      <w:pPr>
        <w:ind w:firstLine="708"/>
        <w:jc w:val="both"/>
        <w:rPr>
          <w:color w:val="auto"/>
          <w:sz w:val="27"/>
          <w:szCs w:val="27"/>
        </w:rPr>
      </w:pPr>
      <w:r w:rsidRPr="004379EC">
        <w:rPr>
          <w:color w:val="auto"/>
          <w:sz w:val="27"/>
          <w:szCs w:val="27"/>
        </w:rPr>
        <w:t>Так, за 9 мес. 2019 года при общем сокращении количества регистрационных действий, связанных с внесением изменений в учредительные документы (в том числе при «миграции»)</w:t>
      </w:r>
      <w:r w:rsidR="00E53137" w:rsidRPr="004379EC">
        <w:rPr>
          <w:color w:val="auto"/>
          <w:sz w:val="27"/>
          <w:szCs w:val="27"/>
        </w:rPr>
        <w:t xml:space="preserve">, на 34%, </w:t>
      </w:r>
      <w:r w:rsidRPr="004379EC">
        <w:rPr>
          <w:color w:val="auto"/>
          <w:sz w:val="27"/>
          <w:szCs w:val="27"/>
        </w:rPr>
        <w:t xml:space="preserve">доля отказов в совершении регистрационных действий, </w:t>
      </w:r>
      <w:r w:rsidR="00E53137" w:rsidRPr="004379EC">
        <w:rPr>
          <w:color w:val="auto"/>
          <w:sz w:val="27"/>
          <w:szCs w:val="27"/>
        </w:rPr>
        <w:t>такого рода</w:t>
      </w:r>
      <w:r w:rsidRPr="004379EC">
        <w:rPr>
          <w:color w:val="auto"/>
          <w:sz w:val="27"/>
          <w:szCs w:val="27"/>
        </w:rPr>
        <w:t xml:space="preserve"> в общем количестве вынесенных решений выросла с 27 до 34 процентов.</w:t>
      </w:r>
    </w:p>
    <w:p w:rsidR="00E53137" w:rsidRPr="004379EC" w:rsidRDefault="00E53137" w:rsidP="00E53137">
      <w:pPr>
        <w:ind w:firstLine="708"/>
        <w:jc w:val="both"/>
        <w:rPr>
          <w:color w:val="auto"/>
          <w:sz w:val="27"/>
          <w:szCs w:val="27"/>
        </w:rPr>
      </w:pPr>
      <w:r w:rsidRPr="004379EC">
        <w:rPr>
          <w:color w:val="auto"/>
          <w:sz w:val="27"/>
          <w:szCs w:val="27"/>
        </w:rPr>
        <w:t>Общее количество решений об отказе в государственной регистрации, связанных с внесением изменений в учредительные документы, составило 378. С учетом того, что данные решения практически не обжалуются (обжаловано только 2 решения), можно говорить о повышении эффективности противодействия лицам, пытающимся внести в ЕГРЮЛ недостоверные сведения с дальнейшим использованием фиктивных организаций в схемах ухода от налогообложения.</w:t>
      </w:r>
    </w:p>
    <w:p w:rsidR="00E53137" w:rsidRPr="004379EC" w:rsidRDefault="00E53137" w:rsidP="00E53137">
      <w:pPr>
        <w:ind w:firstLine="708"/>
        <w:jc w:val="both"/>
        <w:rPr>
          <w:color w:val="auto"/>
          <w:sz w:val="27"/>
          <w:szCs w:val="27"/>
        </w:rPr>
      </w:pPr>
    </w:p>
    <w:p w:rsidR="00007B38" w:rsidRPr="004379EC" w:rsidRDefault="00007B38" w:rsidP="00007B38">
      <w:pPr>
        <w:pStyle w:val="ab"/>
        <w:numPr>
          <w:ilvl w:val="0"/>
          <w:numId w:val="7"/>
        </w:numPr>
        <w:ind w:left="426" w:firstLine="282"/>
        <w:jc w:val="both"/>
        <w:rPr>
          <w:color w:val="auto"/>
          <w:sz w:val="27"/>
          <w:szCs w:val="27"/>
        </w:rPr>
      </w:pPr>
      <w:r w:rsidRPr="004379EC">
        <w:rPr>
          <w:color w:val="auto"/>
          <w:sz w:val="27"/>
          <w:szCs w:val="27"/>
        </w:rPr>
        <w:t>Работа с банками</w:t>
      </w:r>
    </w:p>
    <w:p w:rsidR="00C81512" w:rsidRPr="004379EC" w:rsidRDefault="00C81512" w:rsidP="00F71C85">
      <w:pPr>
        <w:ind w:firstLine="708"/>
        <w:jc w:val="both"/>
        <w:rPr>
          <w:color w:val="auto"/>
          <w:sz w:val="27"/>
          <w:szCs w:val="27"/>
        </w:rPr>
      </w:pPr>
    </w:p>
    <w:p w:rsidR="00007B38" w:rsidRPr="004379EC" w:rsidRDefault="00EA7002" w:rsidP="00F71C85">
      <w:pPr>
        <w:ind w:firstLine="708"/>
        <w:jc w:val="both"/>
        <w:rPr>
          <w:color w:val="auto"/>
          <w:sz w:val="27"/>
          <w:szCs w:val="27"/>
        </w:rPr>
      </w:pPr>
      <w:r w:rsidRPr="004379EC">
        <w:rPr>
          <w:color w:val="auto"/>
          <w:sz w:val="27"/>
          <w:szCs w:val="27"/>
        </w:rPr>
        <w:t>Следующим</w:t>
      </w:r>
      <w:r w:rsidR="00007B38" w:rsidRPr="004379EC">
        <w:rPr>
          <w:color w:val="auto"/>
          <w:sz w:val="27"/>
          <w:szCs w:val="27"/>
        </w:rPr>
        <w:t xml:space="preserve"> направлени</w:t>
      </w:r>
      <w:r w:rsidRPr="004379EC">
        <w:rPr>
          <w:color w:val="auto"/>
          <w:sz w:val="27"/>
          <w:szCs w:val="27"/>
        </w:rPr>
        <w:t>ем</w:t>
      </w:r>
      <w:r w:rsidR="00007B38" w:rsidRPr="004379EC">
        <w:rPr>
          <w:color w:val="auto"/>
          <w:sz w:val="27"/>
          <w:szCs w:val="27"/>
        </w:rPr>
        <w:t xml:space="preserve"> работы является </w:t>
      </w:r>
      <w:r w:rsidR="003A6A4B" w:rsidRPr="004379EC">
        <w:rPr>
          <w:color w:val="auto"/>
          <w:sz w:val="27"/>
          <w:szCs w:val="27"/>
        </w:rPr>
        <w:t xml:space="preserve">направление информации </w:t>
      </w:r>
      <w:proofErr w:type="gramStart"/>
      <w:r w:rsidR="003A6A4B" w:rsidRPr="004379EC">
        <w:rPr>
          <w:color w:val="auto"/>
          <w:sz w:val="27"/>
          <w:szCs w:val="27"/>
        </w:rPr>
        <w:t xml:space="preserve">о признаках сомнительных операций в кредитные организации с целью принятия ими </w:t>
      </w:r>
      <w:r w:rsidR="003A6A4B" w:rsidRPr="004379EC">
        <w:rPr>
          <w:color w:val="auto"/>
        </w:rPr>
        <w:t>заградительных мер от отказа от исполнения</w:t>
      </w:r>
      <w:proofErr w:type="gramEnd"/>
      <w:r w:rsidR="003A6A4B" w:rsidRPr="004379EC">
        <w:rPr>
          <w:color w:val="auto"/>
        </w:rPr>
        <w:t xml:space="preserve"> поручений клиента на оплату до расторжения договора банковского счета.</w:t>
      </w:r>
    </w:p>
    <w:p w:rsidR="003A6A4B" w:rsidRPr="004379EC" w:rsidRDefault="003A6A4B" w:rsidP="003A6A4B">
      <w:pPr>
        <w:ind w:firstLine="708"/>
        <w:jc w:val="both"/>
        <w:rPr>
          <w:color w:val="auto"/>
        </w:rPr>
      </w:pPr>
      <w:proofErr w:type="gramStart"/>
      <w:r w:rsidRPr="004379EC">
        <w:rPr>
          <w:color w:val="auto"/>
        </w:rPr>
        <w:t xml:space="preserve">С учетом того, что для придания вида реальности фактически не производимым операциям по движению товаров и услуг организуется движение денежных средств на счетах участников схемных операций, взаимодействие с банками является одним из </w:t>
      </w:r>
      <w:r w:rsidRPr="004379EC">
        <w:rPr>
          <w:color w:val="auto"/>
        </w:rPr>
        <w:lastRenderedPageBreak/>
        <w:t>инструментов противодействия лицам, формирующим в налоговых декларациях по НДС фиктивные основания для применения налоговых вычетов контрагентами без уплаты соответствующих сумм налога в бюджет, в том числе путем формирования</w:t>
      </w:r>
      <w:proofErr w:type="gramEnd"/>
      <w:r w:rsidRPr="004379EC">
        <w:rPr>
          <w:color w:val="auto"/>
        </w:rPr>
        <w:t xml:space="preserve"> расхождений типа «разрыв».</w:t>
      </w:r>
    </w:p>
    <w:p w:rsidR="003A6A4B" w:rsidRPr="004379EC" w:rsidRDefault="00E853E8" w:rsidP="00F71C85">
      <w:pPr>
        <w:ind w:firstLine="708"/>
        <w:jc w:val="both"/>
        <w:rPr>
          <w:bCs/>
          <w:color w:val="auto"/>
        </w:rPr>
      </w:pPr>
      <w:r w:rsidRPr="004379EC">
        <w:rPr>
          <w:bCs/>
          <w:color w:val="auto"/>
        </w:rPr>
        <w:t>Проведена работа по выявлению признаков сомнительных финансовых операций в отношении 24</w:t>
      </w:r>
      <w:r w:rsidR="007546F1" w:rsidRPr="004379EC">
        <w:rPr>
          <w:bCs/>
          <w:color w:val="auto"/>
        </w:rPr>
        <w:t xml:space="preserve">2 </w:t>
      </w:r>
      <w:r w:rsidRPr="004379EC">
        <w:rPr>
          <w:bCs/>
          <w:color w:val="auto"/>
        </w:rPr>
        <w:t xml:space="preserve">налогоплательщиков, в декларациях </w:t>
      </w:r>
      <w:r w:rsidR="00105FD4" w:rsidRPr="004379EC">
        <w:rPr>
          <w:bCs/>
          <w:color w:val="auto"/>
        </w:rPr>
        <w:t xml:space="preserve">37 из которых </w:t>
      </w:r>
      <w:r w:rsidRPr="004379EC">
        <w:rPr>
          <w:bCs/>
          <w:color w:val="auto"/>
        </w:rPr>
        <w:t>за 2018 год имеются не</w:t>
      </w:r>
      <w:r w:rsidR="006E6EE9" w:rsidRPr="004379EC">
        <w:rPr>
          <w:bCs/>
          <w:color w:val="auto"/>
        </w:rPr>
        <w:t xml:space="preserve"> </w:t>
      </w:r>
      <w:r w:rsidRPr="004379EC">
        <w:rPr>
          <w:bCs/>
          <w:color w:val="auto"/>
        </w:rPr>
        <w:t>устраненные расхождения в сумме 54 млн. рублей.</w:t>
      </w:r>
    </w:p>
    <w:p w:rsidR="00105FD4" w:rsidRPr="004379EC" w:rsidRDefault="00105FD4" w:rsidP="00F71C85">
      <w:pPr>
        <w:ind w:firstLine="708"/>
        <w:jc w:val="both"/>
        <w:rPr>
          <w:bCs/>
          <w:color w:val="auto"/>
        </w:rPr>
      </w:pPr>
      <w:r w:rsidRPr="004379EC">
        <w:rPr>
          <w:bCs/>
          <w:color w:val="auto"/>
        </w:rPr>
        <w:t xml:space="preserve">В банки направлена информация в отношении 111 налогоплательщиков. </w:t>
      </w:r>
      <w:r w:rsidR="00502D84" w:rsidRPr="004379EC">
        <w:rPr>
          <w:bCs/>
          <w:color w:val="auto"/>
        </w:rPr>
        <w:t>П</w:t>
      </w:r>
      <w:r w:rsidRPr="004379EC">
        <w:rPr>
          <w:bCs/>
          <w:color w:val="auto"/>
        </w:rPr>
        <w:t>осле начала работы (октябрь 2018 года) кредитными организациями закрыт</w:t>
      </w:r>
      <w:r w:rsidR="004379EC">
        <w:rPr>
          <w:bCs/>
          <w:color w:val="auto"/>
        </w:rPr>
        <w:t>о</w:t>
      </w:r>
      <w:r w:rsidRPr="004379EC">
        <w:rPr>
          <w:bCs/>
          <w:color w:val="auto"/>
        </w:rPr>
        <w:t xml:space="preserve"> </w:t>
      </w:r>
      <w:r w:rsidR="00145343" w:rsidRPr="004379EC">
        <w:rPr>
          <w:bCs/>
          <w:color w:val="auto"/>
        </w:rPr>
        <w:t>120</w:t>
      </w:r>
      <w:r w:rsidRPr="004379EC">
        <w:rPr>
          <w:bCs/>
          <w:color w:val="auto"/>
        </w:rPr>
        <w:t xml:space="preserve"> счет</w:t>
      </w:r>
      <w:r w:rsidR="00145343" w:rsidRPr="004379EC">
        <w:rPr>
          <w:bCs/>
          <w:color w:val="auto"/>
        </w:rPr>
        <w:t>ов</w:t>
      </w:r>
      <w:r w:rsidRPr="004379EC">
        <w:rPr>
          <w:bCs/>
          <w:color w:val="auto"/>
        </w:rPr>
        <w:t xml:space="preserve"> по </w:t>
      </w:r>
      <w:r w:rsidR="00145343" w:rsidRPr="004379EC">
        <w:rPr>
          <w:bCs/>
          <w:color w:val="auto"/>
        </w:rPr>
        <w:t>49</w:t>
      </w:r>
      <w:r w:rsidRPr="004379EC">
        <w:rPr>
          <w:bCs/>
          <w:color w:val="auto"/>
        </w:rPr>
        <w:t xml:space="preserve"> налогоплательщикам из направленного списка.</w:t>
      </w:r>
    </w:p>
    <w:p w:rsidR="00105FD4" w:rsidRPr="004379EC" w:rsidRDefault="00502D84" w:rsidP="00F71C85">
      <w:pPr>
        <w:ind w:firstLine="708"/>
        <w:jc w:val="both"/>
        <w:rPr>
          <w:bCs/>
          <w:color w:val="auto"/>
        </w:rPr>
      </w:pPr>
      <w:r w:rsidRPr="004379EC">
        <w:rPr>
          <w:bCs/>
          <w:color w:val="auto"/>
        </w:rPr>
        <w:t xml:space="preserve">Из этих 111 налогоплательщиков в 2019 году разрывы зафиксированы только по 5 организациям. Таким образом, </w:t>
      </w:r>
      <w:r w:rsidR="00AA45E9" w:rsidRPr="004379EC">
        <w:rPr>
          <w:bCs/>
          <w:color w:val="auto"/>
        </w:rPr>
        <w:t>определённый</w:t>
      </w:r>
      <w:r w:rsidRPr="004379EC">
        <w:rPr>
          <w:bCs/>
          <w:color w:val="auto"/>
        </w:rPr>
        <w:t xml:space="preserve"> профилактический эффект в работе по препятствованию сомнительным банковским операциям имеется и выражается в сокращении расхождений в декларациях по НДС.</w:t>
      </w:r>
    </w:p>
    <w:p w:rsidR="003E28CE" w:rsidRPr="004379EC" w:rsidRDefault="003E28CE" w:rsidP="00F71C85">
      <w:pPr>
        <w:ind w:firstLine="708"/>
        <w:jc w:val="both"/>
        <w:rPr>
          <w:bCs/>
          <w:color w:val="auto"/>
        </w:rPr>
      </w:pPr>
    </w:p>
    <w:p w:rsidR="00605AA4" w:rsidRPr="004379EC" w:rsidRDefault="00605AA4" w:rsidP="00605AA4">
      <w:pPr>
        <w:pStyle w:val="ab"/>
        <w:numPr>
          <w:ilvl w:val="0"/>
          <w:numId w:val="7"/>
        </w:numPr>
        <w:ind w:left="426" w:firstLine="282"/>
        <w:jc w:val="both"/>
        <w:rPr>
          <w:color w:val="auto"/>
          <w:sz w:val="27"/>
          <w:szCs w:val="27"/>
        </w:rPr>
      </w:pPr>
      <w:r w:rsidRPr="004379EC">
        <w:rPr>
          <w:color w:val="auto"/>
          <w:sz w:val="27"/>
          <w:szCs w:val="27"/>
        </w:rPr>
        <w:t xml:space="preserve">Работа </w:t>
      </w:r>
      <w:r w:rsidR="009B6DDD" w:rsidRPr="004379EC">
        <w:rPr>
          <w:color w:val="auto"/>
          <w:sz w:val="27"/>
          <w:szCs w:val="27"/>
        </w:rPr>
        <w:t>по актуализации информации в ЕГРЮЛ</w:t>
      </w:r>
    </w:p>
    <w:p w:rsidR="009B6DDD" w:rsidRPr="004379EC" w:rsidRDefault="009B6DDD">
      <w:pPr>
        <w:ind w:firstLine="708"/>
        <w:jc w:val="both"/>
        <w:rPr>
          <w:bCs/>
          <w:color w:val="auto"/>
        </w:rPr>
      </w:pPr>
    </w:p>
    <w:p w:rsidR="009B6DDD" w:rsidRPr="004379EC" w:rsidRDefault="009B6DDD" w:rsidP="009B6DDD">
      <w:pPr>
        <w:ind w:firstLine="708"/>
        <w:jc w:val="both"/>
        <w:rPr>
          <w:color w:val="auto"/>
          <w:sz w:val="28"/>
        </w:rPr>
      </w:pPr>
      <w:r w:rsidRPr="004379EC">
        <w:rPr>
          <w:color w:val="auto"/>
          <w:sz w:val="28"/>
        </w:rPr>
        <w:t xml:space="preserve">Помимо </w:t>
      </w:r>
      <w:r w:rsidRPr="004379EC">
        <w:rPr>
          <w:bCs/>
          <w:color w:val="auto"/>
        </w:rPr>
        <w:t xml:space="preserve">направления информации в кредитные организации, </w:t>
      </w:r>
      <w:r w:rsidR="006502AD" w:rsidRPr="004379EC">
        <w:rPr>
          <w:color w:val="auto"/>
          <w:sz w:val="28"/>
        </w:rPr>
        <w:t>противодействию регистрации фир</w:t>
      </w:r>
      <w:proofErr w:type="gramStart"/>
      <w:r w:rsidR="006502AD" w:rsidRPr="004379EC">
        <w:rPr>
          <w:color w:val="auto"/>
          <w:sz w:val="28"/>
        </w:rPr>
        <w:t>м-</w:t>
      </w:r>
      <w:proofErr w:type="gramEnd"/>
      <w:r w:rsidR="006502AD" w:rsidRPr="004379EC">
        <w:rPr>
          <w:color w:val="auto"/>
          <w:sz w:val="28"/>
        </w:rPr>
        <w:t>«</w:t>
      </w:r>
      <w:proofErr w:type="spellStart"/>
      <w:r w:rsidR="006502AD" w:rsidRPr="004379EC">
        <w:rPr>
          <w:color w:val="auto"/>
          <w:sz w:val="28"/>
        </w:rPr>
        <w:t>транзитеров</w:t>
      </w:r>
      <w:proofErr w:type="spellEnd"/>
      <w:r w:rsidR="006502AD" w:rsidRPr="004379EC">
        <w:rPr>
          <w:color w:val="auto"/>
          <w:sz w:val="28"/>
        </w:rPr>
        <w:t>»</w:t>
      </w:r>
      <w:r w:rsidRPr="004379EC">
        <w:rPr>
          <w:color w:val="auto"/>
          <w:sz w:val="28"/>
        </w:rPr>
        <w:t>, а также работы по побуждению налогоплательщиков к самостоятельному устранению расхождений, проводится профилактическая работа, направленная на предотвращение самой возможности представления недобросовестными налогоплательщиками в налоговые органы налоговых деклараций, содержащих недостоверные данные.</w:t>
      </w:r>
    </w:p>
    <w:p w:rsidR="006502AD" w:rsidRPr="004379EC" w:rsidRDefault="006502AD" w:rsidP="009B6DDD">
      <w:pPr>
        <w:ind w:firstLine="708"/>
        <w:jc w:val="both"/>
        <w:rPr>
          <w:color w:val="auto"/>
          <w:sz w:val="28"/>
        </w:rPr>
      </w:pPr>
      <w:r w:rsidRPr="004379EC">
        <w:rPr>
          <w:color w:val="auto"/>
          <w:sz w:val="28"/>
        </w:rPr>
        <w:t>Поскольку законодательно установлено, что налоговые декларации по НДС представляются исключительно в электронном виде по телекоммуникационным каналам связи, необходимо лишить лиц, управляющих «транзитными» организациями, представлять от их имени налоговые декларации</w:t>
      </w:r>
    </w:p>
    <w:p w:rsidR="009B6DDD" w:rsidRPr="004379EC" w:rsidRDefault="009B6DDD" w:rsidP="009B6DDD">
      <w:pPr>
        <w:ind w:firstLine="708"/>
        <w:jc w:val="both"/>
        <w:rPr>
          <w:color w:val="auto"/>
          <w:sz w:val="28"/>
        </w:rPr>
      </w:pPr>
      <w:r w:rsidRPr="004379EC">
        <w:rPr>
          <w:color w:val="auto"/>
          <w:sz w:val="28"/>
        </w:rPr>
        <w:t>Такая работа проводится по 3 основным направлениям:</w:t>
      </w:r>
    </w:p>
    <w:p w:rsidR="0080229E" w:rsidRPr="004379EC" w:rsidRDefault="009B6DDD" w:rsidP="009B6DDD">
      <w:pPr>
        <w:pStyle w:val="ab"/>
        <w:numPr>
          <w:ilvl w:val="0"/>
          <w:numId w:val="3"/>
        </w:numPr>
        <w:ind w:left="0" w:firstLine="708"/>
        <w:jc w:val="both"/>
        <w:rPr>
          <w:color w:val="auto"/>
          <w:sz w:val="28"/>
        </w:rPr>
      </w:pPr>
      <w:r w:rsidRPr="004379EC">
        <w:rPr>
          <w:color w:val="auto"/>
          <w:sz w:val="28"/>
        </w:rPr>
        <w:t>Внесение информации о компрометации сертификатов ключей электронных подписей в Информационный реестр участников документооборота и аннулирование доверенностей в информ</w:t>
      </w:r>
      <w:r w:rsidR="0080229E" w:rsidRPr="004379EC">
        <w:rPr>
          <w:color w:val="auto"/>
          <w:sz w:val="28"/>
        </w:rPr>
        <w:t>ационном ресурсе «Доверенность».</w:t>
      </w:r>
    </w:p>
    <w:p w:rsidR="0080229E" w:rsidRPr="004379EC" w:rsidRDefault="0080229E" w:rsidP="0080229E">
      <w:pPr>
        <w:ind w:firstLine="708"/>
        <w:jc w:val="both"/>
        <w:rPr>
          <w:color w:val="auto"/>
          <w:sz w:val="28"/>
        </w:rPr>
      </w:pPr>
      <w:r w:rsidRPr="004379EC">
        <w:rPr>
          <w:color w:val="auto"/>
          <w:sz w:val="28"/>
        </w:rPr>
        <w:t>Налоговыми органами осуществляется поиск лиц, на которых зарегистрированы «транзитные» организации. Зачастую этими лицами оказываются граждане, попавшие в затруднительную жизненную ситуацию и предоставившие свои данные для регистрации юридического лица. В дальнейшем на них же оформляются ключи электронно-цифровой подписи, позволяющие сдавать налоговую отчетность. Эти ключи передаются лицам, организующим схемы незаконной налоговой оптимизации.</w:t>
      </w:r>
    </w:p>
    <w:p w:rsidR="0080229E" w:rsidRPr="004379EC" w:rsidRDefault="0080229E" w:rsidP="0080229E">
      <w:pPr>
        <w:ind w:firstLine="708"/>
        <w:jc w:val="both"/>
        <w:rPr>
          <w:color w:val="auto"/>
          <w:sz w:val="28"/>
        </w:rPr>
      </w:pPr>
      <w:r w:rsidRPr="004379EC">
        <w:rPr>
          <w:color w:val="auto"/>
          <w:sz w:val="28"/>
        </w:rPr>
        <w:t>При получении от таких «номинальных» руководителей соответствующих показаний, свидетельствующих о незаконном использовании ключей ЭЦП посторонними лицами, налоговые органы вносят в информационные ресурсы сведения о компрометации ключей ЭЦП, и после этого возможность представления с их применением недостоверной (и любой) отчетности исключается.</w:t>
      </w:r>
    </w:p>
    <w:p w:rsidR="0080229E" w:rsidRPr="004379EC" w:rsidRDefault="0080229E" w:rsidP="0080229E">
      <w:pPr>
        <w:ind w:firstLine="708"/>
        <w:jc w:val="both"/>
        <w:rPr>
          <w:color w:val="auto"/>
          <w:sz w:val="28"/>
        </w:rPr>
      </w:pPr>
      <w:r w:rsidRPr="004379EC">
        <w:rPr>
          <w:color w:val="auto"/>
          <w:sz w:val="28"/>
        </w:rPr>
        <w:t xml:space="preserve">Всего в текущем году информация о компрометации ключей ЭЦП внесена в </w:t>
      </w:r>
      <w:proofErr w:type="spellStart"/>
      <w:r w:rsidRPr="004379EC">
        <w:rPr>
          <w:color w:val="auto"/>
          <w:sz w:val="28"/>
        </w:rPr>
        <w:t>инфоресурсы</w:t>
      </w:r>
      <w:proofErr w:type="spellEnd"/>
      <w:r w:rsidRPr="004379EC">
        <w:rPr>
          <w:color w:val="auto"/>
          <w:sz w:val="28"/>
        </w:rPr>
        <w:t xml:space="preserve"> в отношении </w:t>
      </w:r>
      <w:r w:rsidR="000110B4" w:rsidRPr="004379EC">
        <w:rPr>
          <w:color w:val="auto"/>
          <w:sz w:val="28"/>
        </w:rPr>
        <w:t>62</w:t>
      </w:r>
      <w:r w:rsidRPr="004379EC">
        <w:rPr>
          <w:color w:val="auto"/>
          <w:sz w:val="28"/>
        </w:rPr>
        <w:t xml:space="preserve"> налогоплательщиков.</w:t>
      </w:r>
    </w:p>
    <w:p w:rsidR="0080229E" w:rsidRPr="004379EC" w:rsidRDefault="0080229E" w:rsidP="0080229E">
      <w:pPr>
        <w:ind w:firstLine="708"/>
        <w:jc w:val="both"/>
        <w:rPr>
          <w:color w:val="auto"/>
          <w:sz w:val="28"/>
        </w:rPr>
      </w:pPr>
    </w:p>
    <w:p w:rsidR="005F3837" w:rsidRPr="004379EC" w:rsidRDefault="009B6DDD" w:rsidP="009B6DDD">
      <w:pPr>
        <w:pStyle w:val="ab"/>
        <w:numPr>
          <w:ilvl w:val="0"/>
          <w:numId w:val="3"/>
        </w:numPr>
        <w:ind w:left="0" w:firstLine="708"/>
        <w:jc w:val="both"/>
        <w:rPr>
          <w:color w:val="auto"/>
          <w:sz w:val="28"/>
        </w:rPr>
      </w:pPr>
      <w:r w:rsidRPr="004379EC">
        <w:rPr>
          <w:color w:val="auto"/>
          <w:sz w:val="28"/>
        </w:rPr>
        <w:lastRenderedPageBreak/>
        <w:t>Направление в адрес операторов электронного документооборота информации, свидетельствующей о возможной компрометации ключей электронной подписи</w:t>
      </w:r>
      <w:r w:rsidR="005F3837" w:rsidRPr="004379EC">
        <w:rPr>
          <w:color w:val="auto"/>
          <w:sz w:val="28"/>
        </w:rPr>
        <w:t>.</w:t>
      </w:r>
    </w:p>
    <w:p w:rsidR="009B6DDD" w:rsidRPr="004379EC" w:rsidRDefault="009B6DDD" w:rsidP="009B6DDD">
      <w:pPr>
        <w:ind w:firstLine="708"/>
        <w:jc w:val="both"/>
        <w:rPr>
          <w:color w:val="auto"/>
          <w:sz w:val="28"/>
        </w:rPr>
      </w:pPr>
      <w:r w:rsidRPr="004379EC">
        <w:rPr>
          <w:color w:val="auto"/>
          <w:sz w:val="28"/>
        </w:rPr>
        <w:t xml:space="preserve">Операторам электронного документооборота в целях принятия мер по отзыву (аннулированию) сертификатов ключей электронной подписи либо по отказу в продлении сертификатов ключей электронной подписи по истечению срока их действия с марта по </w:t>
      </w:r>
      <w:r w:rsidR="00930C3D">
        <w:rPr>
          <w:color w:val="auto"/>
          <w:sz w:val="28"/>
        </w:rPr>
        <w:t>октябрь</w:t>
      </w:r>
      <w:r w:rsidRPr="004379EC">
        <w:rPr>
          <w:color w:val="auto"/>
          <w:sz w:val="28"/>
        </w:rPr>
        <w:t xml:space="preserve"> 2019 года направлена информация по </w:t>
      </w:r>
      <w:r w:rsidR="000110B4" w:rsidRPr="004379EC">
        <w:rPr>
          <w:color w:val="auto"/>
          <w:sz w:val="28"/>
        </w:rPr>
        <w:t>178</w:t>
      </w:r>
      <w:r w:rsidRPr="004379EC">
        <w:rPr>
          <w:color w:val="auto"/>
          <w:sz w:val="28"/>
        </w:rPr>
        <w:t xml:space="preserve"> налогоплательщикам.</w:t>
      </w:r>
    </w:p>
    <w:p w:rsidR="009B6DDD" w:rsidRPr="00930C3D" w:rsidRDefault="00906A85">
      <w:pPr>
        <w:ind w:firstLine="708"/>
        <w:jc w:val="both"/>
        <w:rPr>
          <w:color w:val="auto"/>
          <w:sz w:val="28"/>
        </w:rPr>
      </w:pPr>
      <w:r w:rsidRPr="00930C3D">
        <w:rPr>
          <w:color w:val="auto"/>
          <w:sz w:val="28"/>
        </w:rPr>
        <w:t xml:space="preserve">Операторы электронного документооборота при обращении к ним налогоплательщиков в целях получения сертификатов ЭЦП (в том числе в случаях, когда ЭЦП была скомпрометирована налоговым органом) ориентируются, помимо вышеупомянутой информации, на сведения ЕГРЮЛ. </w:t>
      </w:r>
    </w:p>
    <w:p w:rsidR="005F3837" w:rsidRPr="004379EC" w:rsidRDefault="005F3837" w:rsidP="005F3837">
      <w:pPr>
        <w:pStyle w:val="ab"/>
        <w:numPr>
          <w:ilvl w:val="0"/>
          <w:numId w:val="3"/>
        </w:numPr>
        <w:ind w:left="0" w:firstLine="708"/>
        <w:jc w:val="both"/>
        <w:rPr>
          <w:color w:val="auto"/>
          <w:sz w:val="28"/>
        </w:rPr>
      </w:pPr>
      <w:r w:rsidRPr="004379EC">
        <w:rPr>
          <w:color w:val="auto"/>
          <w:sz w:val="28"/>
        </w:rPr>
        <w:t xml:space="preserve">Внесение в ЕГРЮЛ сведений о </w:t>
      </w:r>
      <w:proofErr w:type="gramStart"/>
      <w:r w:rsidRPr="004379EC">
        <w:rPr>
          <w:color w:val="auto"/>
          <w:sz w:val="28"/>
        </w:rPr>
        <w:t>недостоверности</w:t>
      </w:r>
      <w:proofErr w:type="gramEnd"/>
      <w:r w:rsidRPr="004379EC">
        <w:rPr>
          <w:color w:val="auto"/>
          <w:sz w:val="28"/>
        </w:rPr>
        <w:t xml:space="preserve"> </w:t>
      </w:r>
      <w:r w:rsidR="00930C3D">
        <w:rPr>
          <w:color w:val="auto"/>
          <w:sz w:val="28"/>
        </w:rPr>
        <w:t>содержащейся в нем</w:t>
      </w:r>
      <w:r w:rsidRPr="004379EC">
        <w:rPr>
          <w:color w:val="auto"/>
          <w:sz w:val="28"/>
        </w:rPr>
        <w:t xml:space="preserve"> информации является третьим направлением работы.</w:t>
      </w:r>
    </w:p>
    <w:p w:rsidR="005F3837" w:rsidRPr="004379EC" w:rsidRDefault="005F3837">
      <w:pPr>
        <w:ind w:firstLine="708"/>
        <w:jc w:val="both"/>
        <w:rPr>
          <w:bCs/>
          <w:color w:val="auto"/>
        </w:rPr>
      </w:pPr>
    </w:p>
    <w:p w:rsidR="00866929" w:rsidRPr="004379EC" w:rsidRDefault="00B73579" w:rsidP="00866929">
      <w:pPr>
        <w:ind w:firstLine="708"/>
        <w:jc w:val="both"/>
        <w:rPr>
          <w:color w:val="auto"/>
          <w:sz w:val="28"/>
          <w:szCs w:val="28"/>
        </w:rPr>
      </w:pPr>
      <w:r w:rsidRPr="004379EC">
        <w:rPr>
          <w:color w:val="auto"/>
          <w:sz w:val="28"/>
        </w:rPr>
        <w:t>Налоговы</w:t>
      </w:r>
      <w:r w:rsidR="005F3837" w:rsidRPr="004379EC">
        <w:rPr>
          <w:color w:val="auto"/>
          <w:sz w:val="28"/>
        </w:rPr>
        <w:t>е</w:t>
      </w:r>
      <w:r w:rsidRPr="004379EC">
        <w:rPr>
          <w:color w:val="auto"/>
          <w:sz w:val="28"/>
        </w:rPr>
        <w:t xml:space="preserve"> орган</w:t>
      </w:r>
      <w:r w:rsidR="005F3837" w:rsidRPr="004379EC">
        <w:rPr>
          <w:color w:val="auto"/>
          <w:sz w:val="28"/>
        </w:rPr>
        <w:t>ы</w:t>
      </w:r>
      <w:r w:rsidRPr="004379EC">
        <w:rPr>
          <w:color w:val="auto"/>
          <w:sz w:val="28"/>
        </w:rPr>
        <w:t xml:space="preserve"> по месту нахождения налогоплательщиков </w:t>
      </w:r>
      <w:r w:rsidR="00906A85" w:rsidRPr="004379EC">
        <w:rPr>
          <w:color w:val="auto"/>
          <w:sz w:val="28"/>
        </w:rPr>
        <w:t xml:space="preserve">при </w:t>
      </w:r>
      <w:r w:rsidRPr="004379EC">
        <w:rPr>
          <w:color w:val="auto"/>
          <w:sz w:val="28"/>
        </w:rPr>
        <w:t xml:space="preserve">отсутствии </w:t>
      </w:r>
      <w:r w:rsidR="00906A85" w:rsidRPr="004379EC">
        <w:rPr>
          <w:color w:val="auto"/>
          <w:sz w:val="28"/>
        </w:rPr>
        <w:t>признаков реальной финансово-хозяйственной деятельности</w:t>
      </w:r>
      <w:r w:rsidRPr="004379EC">
        <w:rPr>
          <w:color w:val="auto"/>
          <w:sz w:val="28"/>
        </w:rPr>
        <w:t xml:space="preserve"> (в том числе непредставление документов, неявка на допрос, отсутствие работников) внос</w:t>
      </w:r>
      <w:r w:rsidR="005F3837" w:rsidRPr="004379EC">
        <w:rPr>
          <w:color w:val="auto"/>
          <w:sz w:val="28"/>
        </w:rPr>
        <w:t>ят</w:t>
      </w:r>
      <w:r w:rsidRPr="004379EC">
        <w:rPr>
          <w:color w:val="auto"/>
          <w:sz w:val="28"/>
        </w:rPr>
        <w:t xml:space="preserve"> в ЕГРЮЛ </w:t>
      </w:r>
      <w:r w:rsidR="00866929" w:rsidRPr="004379EC">
        <w:rPr>
          <w:color w:val="auto"/>
          <w:sz w:val="28"/>
          <w:szCs w:val="28"/>
        </w:rPr>
        <w:t>запись о недостоверности содержащихся в ЕГРЮЛ сведений о юридическом лице.</w:t>
      </w:r>
    </w:p>
    <w:p w:rsidR="00DC6B04" w:rsidRPr="004379EC" w:rsidRDefault="00866929" w:rsidP="009B6DDD">
      <w:pPr>
        <w:ind w:firstLine="708"/>
        <w:jc w:val="both"/>
        <w:rPr>
          <w:color w:val="auto"/>
          <w:sz w:val="28"/>
        </w:rPr>
      </w:pPr>
      <w:r w:rsidRPr="004379EC">
        <w:rPr>
          <w:color w:val="auto"/>
          <w:sz w:val="28"/>
        </w:rPr>
        <w:t xml:space="preserve">За период с апреля по </w:t>
      </w:r>
      <w:r w:rsidR="005F3837" w:rsidRPr="004379EC">
        <w:rPr>
          <w:color w:val="auto"/>
          <w:sz w:val="28"/>
        </w:rPr>
        <w:t>октябрь</w:t>
      </w:r>
      <w:r w:rsidRPr="004379EC">
        <w:rPr>
          <w:color w:val="auto"/>
          <w:sz w:val="28"/>
        </w:rPr>
        <w:t xml:space="preserve"> 2019 года </w:t>
      </w:r>
      <w:r w:rsidR="005F3837" w:rsidRPr="004379EC">
        <w:rPr>
          <w:color w:val="auto"/>
          <w:sz w:val="28"/>
        </w:rPr>
        <w:t xml:space="preserve">соответствующая информация </w:t>
      </w:r>
      <w:r w:rsidRPr="004379EC">
        <w:rPr>
          <w:color w:val="auto"/>
          <w:sz w:val="28"/>
        </w:rPr>
        <w:t xml:space="preserve"> направлена в регистрационный цент</w:t>
      </w:r>
      <w:r w:rsidR="00DC6B04" w:rsidRPr="004379EC">
        <w:rPr>
          <w:color w:val="auto"/>
          <w:sz w:val="28"/>
        </w:rPr>
        <w:t>р</w:t>
      </w:r>
      <w:r w:rsidRPr="004379EC">
        <w:rPr>
          <w:color w:val="auto"/>
          <w:sz w:val="28"/>
        </w:rPr>
        <w:t xml:space="preserve"> в о</w:t>
      </w:r>
      <w:r w:rsidR="005F3837" w:rsidRPr="004379EC">
        <w:rPr>
          <w:color w:val="auto"/>
          <w:sz w:val="28"/>
        </w:rPr>
        <w:t xml:space="preserve">тношении </w:t>
      </w:r>
      <w:r w:rsidR="00145343" w:rsidRPr="004379EC">
        <w:rPr>
          <w:color w:val="auto"/>
          <w:sz w:val="28"/>
        </w:rPr>
        <w:t>104</w:t>
      </w:r>
      <w:r w:rsidR="005F3837" w:rsidRPr="004379EC">
        <w:rPr>
          <w:color w:val="auto"/>
          <w:sz w:val="28"/>
        </w:rPr>
        <w:t xml:space="preserve"> налогоплательщиков.</w:t>
      </w:r>
    </w:p>
    <w:p w:rsidR="00145343" w:rsidRPr="004379EC" w:rsidRDefault="000110B4" w:rsidP="000110B4">
      <w:pPr>
        <w:ind w:firstLine="708"/>
        <w:jc w:val="both"/>
        <w:rPr>
          <w:color w:val="auto"/>
          <w:sz w:val="28"/>
        </w:rPr>
      </w:pPr>
      <w:r w:rsidRPr="004379EC">
        <w:rPr>
          <w:color w:val="auto"/>
          <w:sz w:val="28"/>
        </w:rPr>
        <w:t xml:space="preserve">Записи о недостоверности </w:t>
      </w:r>
      <w:r w:rsidR="00145343" w:rsidRPr="004379EC">
        <w:rPr>
          <w:color w:val="auto"/>
          <w:sz w:val="28"/>
        </w:rPr>
        <w:t xml:space="preserve">информации о лице, имеющем право без доверенности действовать от имени юридического лица, </w:t>
      </w:r>
      <w:proofErr w:type="gramStart"/>
      <w:r w:rsidR="00145343" w:rsidRPr="004379EC">
        <w:rPr>
          <w:color w:val="auto"/>
          <w:sz w:val="28"/>
        </w:rPr>
        <w:t>внесена</w:t>
      </w:r>
      <w:proofErr w:type="gramEnd"/>
      <w:r w:rsidR="00145343" w:rsidRPr="004379EC">
        <w:rPr>
          <w:color w:val="auto"/>
          <w:sz w:val="28"/>
        </w:rPr>
        <w:t xml:space="preserve">  </w:t>
      </w:r>
      <w:r w:rsidRPr="004379EC">
        <w:rPr>
          <w:color w:val="auto"/>
          <w:sz w:val="28"/>
        </w:rPr>
        <w:t xml:space="preserve">в ЕГРЮЛ по </w:t>
      </w:r>
      <w:r w:rsidR="00145343" w:rsidRPr="004379EC">
        <w:rPr>
          <w:color w:val="auto"/>
          <w:sz w:val="28"/>
        </w:rPr>
        <w:t>95</w:t>
      </w:r>
      <w:r w:rsidRPr="004379EC">
        <w:rPr>
          <w:color w:val="auto"/>
          <w:sz w:val="28"/>
        </w:rPr>
        <w:t>-ми из них</w:t>
      </w:r>
      <w:r w:rsidR="00145343" w:rsidRPr="004379EC">
        <w:rPr>
          <w:color w:val="auto"/>
          <w:sz w:val="28"/>
        </w:rPr>
        <w:t>.</w:t>
      </w:r>
    </w:p>
    <w:p w:rsidR="00563A45" w:rsidRPr="004379EC" w:rsidRDefault="00563A45" w:rsidP="005829C8">
      <w:pPr>
        <w:ind w:firstLine="708"/>
        <w:jc w:val="both"/>
        <w:rPr>
          <w:bCs/>
          <w:color w:val="auto"/>
        </w:rPr>
      </w:pPr>
    </w:p>
    <w:p w:rsidR="00350779" w:rsidRPr="004379EC" w:rsidRDefault="00350779" w:rsidP="00590A23">
      <w:pPr>
        <w:ind w:firstLine="708"/>
        <w:jc w:val="both"/>
        <w:rPr>
          <w:color w:val="auto"/>
          <w:sz w:val="28"/>
        </w:rPr>
      </w:pPr>
    </w:p>
    <w:p w:rsidR="00350779" w:rsidRPr="00930C3D" w:rsidRDefault="00350779" w:rsidP="00350779">
      <w:pPr>
        <w:pStyle w:val="ab"/>
        <w:numPr>
          <w:ilvl w:val="0"/>
          <w:numId w:val="7"/>
        </w:numPr>
        <w:ind w:left="426" w:firstLine="282"/>
        <w:jc w:val="both"/>
        <w:rPr>
          <w:color w:val="auto"/>
          <w:sz w:val="28"/>
          <w:szCs w:val="28"/>
        </w:rPr>
      </w:pPr>
      <w:r w:rsidRPr="00930C3D">
        <w:rPr>
          <w:color w:val="auto"/>
          <w:sz w:val="28"/>
          <w:szCs w:val="28"/>
        </w:rPr>
        <w:t>Добровольное уточнение налогоплательщиками своих налоговых обязательств</w:t>
      </w:r>
    </w:p>
    <w:p w:rsidR="00350779" w:rsidRPr="004379EC" w:rsidRDefault="00350779" w:rsidP="00590A23">
      <w:pPr>
        <w:ind w:firstLine="708"/>
        <w:jc w:val="both"/>
        <w:rPr>
          <w:color w:val="auto"/>
          <w:sz w:val="28"/>
        </w:rPr>
      </w:pPr>
    </w:p>
    <w:p w:rsidR="00BF7413" w:rsidRPr="004379EC" w:rsidRDefault="00590A23" w:rsidP="00590A23">
      <w:pPr>
        <w:ind w:firstLine="708"/>
        <w:jc w:val="both"/>
        <w:rPr>
          <w:color w:val="auto"/>
          <w:sz w:val="28"/>
        </w:rPr>
      </w:pPr>
      <w:r w:rsidRPr="004379EC">
        <w:rPr>
          <w:color w:val="auto"/>
          <w:sz w:val="28"/>
        </w:rPr>
        <w:t xml:space="preserve">Безусловно, профилактическая работа не подменяет собой проведение контрольных мероприятий. Вновь хочу обратить внимание на то, что при выявлении признаков налоговых правонарушений налоговые </w:t>
      </w:r>
      <w:proofErr w:type="gramStart"/>
      <w:r w:rsidRPr="004379EC">
        <w:rPr>
          <w:color w:val="auto"/>
          <w:sz w:val="28"/>
        </w:rPr>
        <w:t>органы</w:t>
      </w:r>
      <w:proofErr w:type="gramEnd"/>
      <w:r w:rsidRPr="004379EC">
        <w:rPr>
          <w:color w:val="auto"/>
          <w:sz w:val="28"/>
        </w:rPr>
        <w:t xml:space="preserve"> прежде всего нацелены на взаимодействие с налогоплательщиком и на побуждение его к самостоятельному устранению допущенных нарушений.</w:t>
      </w:r>
    </w:p>
    <w:p w:rsidR="00350779" w:rsidRPr="004379EC" w:rsidRDefault="00590A23" w:rsidP="00350779">
      <w:pPr>
        <w:ind w:firstLine="708"/>
        <w:jc w:val="both"/>
        <w:rPr>
          <w:color w:val="auto"/>
          <w:sz w:val="28"/>
          <w:szCs w:val="28"/>
        </w:rPr>
      </w:pPr>
      <w:r w:rsidRPr="004379EC">
        <w:rPr>
          <w:color w:val="auto"/>
          <w:sz w:val="28"/>
        </w:rPr>
        <w:t>Так, нормы статьи 8</w:t>
      </w:r>
      <w:r w:rsidR="00350779" w:rsidRPr="004379EC">
        <w:rPr>
          <w:color w:val="auto"/>
          <w:sz w:val="28"/>
        </w:rPr>
        <w:t>8</w:t>
      </w:r>
      <w:r w:rsidRPr="004379EC">
        <w:rPr>
          <w:color w:val="auto"/>
          <w:sz w:val="28"/>
        </w:rPr>
        <w:t xml:space="preserve"> Налогового кодекса прямо предписывают налоговым органам при </w:t>
      </w:r>
      <w:r w:rsidR="00350779" w:rsidRPr="004379EC">
        <w:rPr>
          <w:color w:val="auto"/>
          <w:sz w:val="28"/>
        </w:rPr>
        <w:t xml:space="preserve">выявлении ошибок либо противоречий в налоговых декларациях </w:t>
      </w:r>
      <w:proofErr w:type="gramStart"/>
      <w:r w:rsidR="00350779" w:rsidRPr="004379EC">
        <w:rPr>
          <w:color w:val="auto"/>
          <w:sz w:val="28"/>
          <w:szCs w:val="28"/>
        </w:rPr>
        <w:t xml:space="preserve">сообщать об этом налогоплательщику с </w:t>
      </w:r>
      <w:hyperlink r:id="rId9" w:history="1">
        <w:r w:rsidR="00350779" w:rsidRPr="004379EC">
          <w:rPr>
            <w:color w:val="auto"/>
            <w:sz w:val="28"/>
            <w:szCs w:val="28"/>
          </w:rPr>
          <w:t>требованием</w:t>
        </w:r>
      </w:hyperlink>
      <w:r w:rsidR="00350779" w:rsidRPr="004379EC">
        <w:rPr>
          <w:color w:val="auto"/>
          <w:sz w:val="28"/>
          <w:szCs w:val="28"/>
        </w:rPr>
        <w:t xml:space="preserve"> представить</w:t>
      </w:r>
      <w:proofErr w:type="gramEnd"/>
      <w:r w:rsidR="00350779" w:rsidRPr="004379EC">
        <w:rPr>
          <w:color w:val="auto"/>
          <w:sz w:val="28"/>
          <w:szCs w:val="28"/>
        </w:rPr>
        <w:t xml:space="preserve"> в течение пяти дней необходимые пояснения или внести соответствующие исправления в установленный срок.</w:t>
      </w:r>
    </w:p>
    <w:p w:rsidR="00350779" w:rsidRPr="004379EC" w:rsidRDefault="00350779" w:rsidP="00350779">
      <w:pPr>
        <w:ind w:firstLine="708"/>
        <w:jc w:val="both"/>
        <w:rPr>
          <w:color w:val="auto"/>
          <w:sz w:val="28"/>
          <w:szCs w:val="28"/>
        </w:rPr>
      </w:pPr>
      <w:r w:rsidRPr="004379EC">
        <w:rPr>
          <w:color w:val="auto"/>
          <w:sz w:val="28"/>
          <w:szCs w:val="28"/>
        </w:rPr>
        <w:t>Эффективность такой работы проиллюстрирована на графике.</w:t>
      </w:r>
    </w:p>
    <w:p w:rsidR="00350779" w:rsidRPr="004379EC" w:rsidRDefault="00350779" w:rsidP="00350779">
      <w:pPr>
        <w:ind w:firstLine="708"/>
        <w:jc w:val="both"/>
        <w:rPr>
          <w:color w:val="auto"/>
          <w:sz w:val="28"/>
          <w:szCs w:val="28"/>
        </w:rPr>
      </w:pPr>
      <w:r w:rsidRPr="004379EC">
        <w:rPr>
          <w:color w:val="auto"/>
          <w:sz w:val="28"/>
          <w:szCs w:val="28"/>
        </w:rPr>
        <w:t>Слайд 2</w:t>
      </w:r>
    </w:p>
    <w:p w:rsidR="00350779" w:rsidRPr="004379EC" w:rsidRDefault="00350779" w:rsidP="00350779">
      <w:pPr>
        <w:ind w:firstLine="708"/>
        <w:jc w:val="both"/>
        <w:rPr>
          <w:color w:val="auto"/>
          <w:sz w:val="28"/>
          <w:szCs w:val="28"/>
        </w:rPr>
      </w:pPr>
      <w:r w:rsidRPr="004379EC">
        <w:rPr>
          <w:color w:val="auto"/>
          <w:sz w:val="28"/>
          <w:szCs w:val="28"/>
        </w:rPr>
        <w:t xml:space="preserve">Как видно на слайде, за 9 мес. 2019 года налогоплательщиками представлено в налоговые органы области 455 уточненных налоговых деклараций, увеличивающих </w:t>
      </w:r>
      <w:r w:rsidRPr="004379EC">
        <w:rPr>
          <w:color w:val="auto"/>
          <w:sz w:val="28"/>
          <w:szCs w:val="28"/>
        </w:rPr>
        <w:lastRenderedPageBreak/>
        <w:t>налоговые обязательства на 10</w:t>
      </w:r>
      <w:r w:rsidR="00930C3D">
        <w:rPr>
          <w:color w:val="auto"/>
          <w:sz w:val="28"/>
          <w:szCs w:val="28"/>
        </w:rPr>
        <w:t>3</w:t>
      </w:r>
      <w:r w:rsidRPr="004379EC">
        <w:rPr>
          <w:color w:val="auto"/>
          <w:sz w:val="28"/>
          <w:szCs w:val="28"/>
        </w:rPr>
        <w:t xml:space="preserve"> млн. рублей. Это на 32 процента выше уровня аналогичного периоде прошлого года</w:t>
      </w:r>
      <w:r w:rsidR="00930C3D">
        <w:rPr>
          <w:color w:val="auto"/>
          <w:sz w:val="28"/>
          <w:szCs w:val="28"/>
        </w:rPr>
        <w:t xml:space="preserve"> (78 млн. рублей)</w:t>
      </w:r>
      <w:r w:rsidRPr="004379EC">
        <w:rPr>
          <w:color w:val="auto"/>
          <w:sz w:val="28"/>
          <w:szCs w:val="28"/>
        </w:rPr>
        <w:t>.</w:t>
      </w:r>
    </w:p>
    <w:p w:rsidR="00350779" w:rsidRPr="004379EC" w:rsidRDefault="00350779" w:rsidP="00350779">
      <w:pPr>
        <w:ind w:firstLine="708"/>
        <w:jc w:val="both"/>
        <w:rPr>
          <w:color w:val="auto"/>
          <w:sz w:val="28"/>
          <w:szCs w:val="28"/>
        </w:rPr>
      </w:pPr>
    </w:p>
    <w:p w:rsidR="00350779" w:rsidRPr="004379EC" w:rsidRDefault="00350779" w:rsidP="00350779">
      <w:pPr>
        <w:ind w:firstLine="708"/>
        <w:jc w:val="both"/>
        <w:rPr>
          <w:color w:val="auto"/>
          <w:sz w:val="28"/>
          <w:szCs w:val="28"/>
        </w:rPr>
      </w:pPr>
      <w:r w:rsidRPr="004379EC">
        <w:rPr>
          <w:color w:val="auto"/>
          <w:sz w:val="28"/>
          <w:szCs w:val="28"/>
        </w:rPr>
        <w:t>При этом основная доля уточненных налоговых обязатель</w:t>
      </w:r>
      <w:proofErr w:type="gramStart"/>
      <w:r w:rsidRPr="004379EC">
        <w:rPr>
          <w:color w:val="auto"/>
          <w:sz w:val="28"/>
          <w:szCs w:val="28"/>
        </w:rPr>
        <w:t>ств пр</w:t>
      </w:r>
      <w:proofErr w:type="gramEnd"/>
      <w:r w:rsidRPr="004379EC">
        <w:rPr>
          <w:color w:val="auto"/>
          <w:sz w:val="28"/>
          <w:szCs w:val="28"/>
        </w:rPr>
        <w:t xml:space="preserve">иходится именно на НДС </w:t>
      </w:r>
      <w:r w:rsidR="00930C3D">
        <w:rPr>
          <w:color w:val="auto"/>
          <w:sz w:val="28"/>
          <w:szCs w:val="28"/>
        </w:rPr>
        <w:t xml:space="preserve">– 63 млн. руб., или </w:t>
      </w:r>
      <w:r w:rsidRPr="004379EC">
        <w:rPr>
          <w:color w:val="auto"/>
          <w:sz w:val="28"/>
          <w:szCs w:val="28"/>
        </w:rPr>
        <w:t xml:space="preserve">62%, что связано </w:t>
      </w:r>
      <w:r w:rsidR="00C47201" w:rsidRPr="004379EC">
        <w:rPr>
          <w:color w:val="auto"/>
          <w:sz w:val="28"/>
          <w:szCs w:val="28"/>
        </w:rPr>
        <w:t>с применением налоговыми органами автоматизированных инструментов проверки, включая сопоставление показателей налоговых деклараций продавцов и покупателей, позволяющее контролировать полноту отражения выручки первыми и обоснованность применения налоговых вычетов вторыми (Программный комплекс  АСК НДС-2).</w:t>
      </w:r>
    </w:p>
    <w:p w:rsidR="00C47201" w:rsidRPr="004379EC" w:rsidRDefault="00C47201" w:rsidP="00350779">
      <w:pPr>
        <w:ind w:firstLine="708"/>
        <w:jc w:val="both"/>
        <w:rPr>
          <w:color w:val="auto"/>
          <w:sz w:val="28"/>
          <w:szCs w:val="28"/>
        </w:rPr>
      </w:pPr>
      <w:r w:rsidRPr="004379EC">
        <w:rPr>
          <w:color w:val="auto"/>
          <w:sz w:val="28"/>
          <w:szCs w:val="28"/>
        </w:rPr>
        <w:t>Подытоживая свое выступление, хочу еще раз обратить внимание, что основной задачей налоговых органов при выполнении ими контрольной функции (а есть и многие другие) является, во-первых, профилактика налоговых правонарушений, а во-вторых – добровольное устранение налогоплательщиками допущенных нарушений.</w:t>
      </w:r>
      <w:r w:rsidR="001316A1" w:rsidRPr="004379EC">
        <w:rPr>
          <w:color w:val="auto"/>
          <w:sz w:val="28"/>
          <w:szCs w:val="28"/>
        </w:rPr>
        <w:t xml:space="preserve"> Такой подход позволяет применять инструменты в виде налоговых проверок в основном только к недобросовестным налогоплательщикам.</w:t>
      </w:r>
    </w:p>
    <w:p w:rsidR="00350779" w:rsidRPr="004379EC" w:rsidRDefault="00350779" w:rsidP="00590A23">
      <w:pPr>
        <w:ind w:firstLine="708"/>
        <w:jc w:val="both"/>
        <w:rPr>
          <w:color w:val="auto"/>
          <w:sz w:val="28"/>
        </w:rPr>
      </w:pPr>
    </w:p>
    <w:p w:rsidR="00590A23" w:rsidRPr="004379EC" w:rsidRDefault="00590A23" w:rsidP="00BF7413">
      <w:pPr>
        <w:jc w:val="both"/>
        <w:rPr>
          <w:color w:val="auto"/>
        </w:rPr>
      </w:pPr>
    </w:p>
    <w:p w:rsidR="004D7FC6" w:rsidRPr="004379EC" w:rsidRDefault="004D7FC6" w:rsidP="00BF7413">
      <w:pPr>
        <w:jc w:val="both"/>
        <w:rPr>
          <w:color w:val="auto"/>
        </w:rPr>
      </w:pPr>
    </w:p>
    <w:p w:rsidR="004D7FC6" w:rsidRPr="004379EC" w:rsidRDefault="004D7FC6" w:rsidP="00BF7413">
      <w:pPr>
        <w:jc w:val="both"/>
        <w:rPr>
          <w:color w:val="auto"/>
        </w:rPr>
      </w:pPr>
    </w:p>
    <w:p w:rsidR="004D7FC6" w:rsidRPr="004379EC" w:rsidRDefault="004D7FC6" w:rsidP="00BF7413">
      <w:pPr>
        <w:jc w:val="both"/>
        <w:rPr>
          <w:color w:val="auto"/>
        </w:rPr>
      </w:pPr>
    </w:p>
    <w:p w:rsidR="004D7FC6" w:rsidRPr="004379EC" w:rsidRDefault="004D7FC6" w:rsidP="00BF7413">
      <w:pPr>
        <w:jc w:val="both"/>
        <w:rPr>
          <w:color w:val="auto"/>
        </w:rPr>
      </w:pPr>
      <w:r w:rsidRPr="004379EC">
        <w:rPr>
          <w:color w:val="auto"/>
        </w:rPr>
        <w:t xml:space="preserve">Начальник </w:t>
      </w:r>
      <w:r w:rsidR="002F3E1D" w:rsidRPr="004379EC">
        <w:rPr>
          <w:color w:val="auto"/>
        </w:rPr>
        <w:t>к</w:t>
      </w:r>
      <w:r w:rsidRPr="004379EC">
        <w:rPr>
          <w:color w:val="auto"/>
        </w:rPr>
        <w:t>онтрольно-аналитического отдела</w:t>
      </w:r>
      <w:r w:rsidRPr="004379EC">
        <w:rPr>
          <w:color w:val="auto"/>
        </w:rPr>
        <w:tab/>
      </w:r>
      <w:r w:rsidRPr="004379EC">
        <w:rPr>
          <w:color w:val="auto"/>
        </w:rPr>
        <w:tab/>
      </w:r>
      <w:r w:rsidRPr="004379EC">
        <w:rPr>
          <w:color w:val="auto"/>
        </w:rPr>
        <w:tab/>
      </w:r>
      <w:r w:rsidRPr="004379EC">
        <w:rPr>
          <w:color w:val="auto"/>
        </w:rPr>
        <w:tab/>
        <w:t>А.Ю. Мальков</w:t>
      </w:r>
    </w:p>
    <w:sectPr w:rsidR="004D7FC6" w:rsidRPr="004379EC" w:rsidSect="0036761C">
      <w:headerReference w:type="default" r:id="rId10"/>
      <w:headerReference w:type="first" r:id="rId11"/>
      <w:pgSz w:w="11906" w:h="16838"/>
      <w:pgMar w:top="1134" w:right="567" w:bottom="993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BD" w:rsidRDefault="00BD43BD">
      <w:r>
        <w:separator/>
      </w:r>
    </w:p>
  </w:endnote>
  <w:endnote w:type="continuationSeparator" w:id="0">
    <w:p w:rsidR="00BD43BD" w:rsidRDefault="00BD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BD" w:rsidRDefault="00BD43BD">
      <w:r>
        <w:separator/>
      </w:r>
    </w:p>
  </w:footnote>
  <w:footnote w:type="continuationSeparator" w:id="0">
    <w:p w:rsidR="00BD43BD" w:rsidRDefault="00BD4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CC" w:rsidRDefault="00FD0DCC">
    <w:pPr>
      <w:pStyle w:val="a4"/>
      <w:jc w:val="center"/>
      <w:rPr>
        <w:color w:val="auto"/>
      </w:rPr>
    </w:pPr>
    <w:r>
      <w:rPr>
        <w:color w:val="auto"/>
      </w:rPr>
      <w:fldChar w:fldCharType="begin"/>
    </w:r>
    <w:r>
      <w:rPr>
        <w:color w:val="auto"/>
      </w:rPr>
      <w:instrText>PAGE   \* MERGEFORMAT</w:instrText>
    </w:r>
    <w:r>
      <w:rPr>
        <w:color w:val="auto"/>
      </w:rPr>
      <w:fldChar w:fldCharType="separate"/>
    </w:r>
    <w:r w:rsidR="00B412A8">
      <w:rPr>
        <w:noProof/>
        <w:color w:val="auto"/>
      </w:rPr>
      <w:t>2</w:t>
    </w:r>
    <w:r>
      <w:rPr>
        <w:color w:val="auto"/>
      </w:rPr>
      <w:fldChar w:fldCharType="end"/>
    </w:r>
  </w:p>
  <w:p w:rsidR="00FD0DCC" w:rsidRDefault="00FD0D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CC" w:rsidRPr="004E6AAC" w:rsidRDefault="00FD0DCC" w:rsidP="004E6AAC">
    <w:pPr>
      <w:pStyle w:val="a4"/>
    </w:pPr>
    <w:r w:rsidRPr="004E6AA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C67"/>
    <w:multiLevelType w:val="hybridMultilevel"/>
    <w:tmpl w:val="41EE9F6A"/>
    <w:lvl w:ilvl="0" w:tplc="D526A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26413A"/>
    <w:multiLevelType w:val="hybridMultilevel"/>
    <w:tmpl w:val="62806848"/>
    <w:lvl w:ilvl="0" w:tplc="A302E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0116F1"/>
    <w:multiLevelType w:val="hybridMultilevel"/>
    <w:tmpl w:val="905CA366"/>
    <w:lvl w:ilvl="0" w:tplc="ACBE9C24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027888"/>
    <w:multiLevelType w:val="hybridMultilevel"/>
    <w:tmpl w:val="1BA03372"/>
    <w:lvl w:ilvl="0" w:tplc="58563B08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4E2528"/>
    <w:multiLevelType w:val="hybridMultilevel"/>
    <w:tmpl w:val="91780C50"/>
    <w:lvl w:ilvl="0" w:tplc="3F283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EC304D"/>
    <w:multiLevelType w:val="hybridMultilevel"/>
    <w:tmpl w:val="66DEDC26"/>
    <w:lvl w:ilvl="0" w:tplc="1A664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B9581E"/>
    <w:multiLevelType w:val="hybridMultilevel"/>
    <w:tmpl w:val="2B223AA4"/>
    <w:lvl w:ilvl="0" w:tplc="CDE2DCC6">
      <w:start w:val="1"/>
      <w:numFmt w:val="decimal"/>
      <w:lvlText w:val="%1."/>
      <w:lvlJc w:val="left"/>
      <w:pPr>
        <w:ind w:left="1068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AF36F3"/>
    <w:multiLevelType w:val="hybridMultilevel"/>
    <w:tmpl w:val="CEDE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F2F34"/>
    <w:multiLevelType w:val="hybridMultilevel"/>
    <w:tmpl w:val="58A0621A"/>
    <w:lvl w:ilvl="0" w:tplc="257C9066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49E632E8"/>
    <w:multiLevelType w:val="hybridMultilevel"/>
    <w:tmpl w:val="FB047A78"/>
    <w:lvl w:ilvl="0" w:tplc="B7AE35D0">
      <w:start w:val="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1642D86"/>
    <w:multiLevelType w:val="hybridMultilevel"/>
    <w:tmpl w:val="6ADCD79C"/>
    <w:lvl w:ilvl="0" w:tplc="D9DEA8B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2E"/>
    <w:rsid w:val="00007263"/>
    <w:rsid w:val="00007B38"/>
    <w:rsid w:val="000110B4"/>
    <w:rsid w:val="000233EB"/>
    <w:rsid w:val="00041E1B"/>
    <w:rsid w:val="0005190F"/>
    <w:rsid w:val="00051A67"/>
    <w:rsid w:val="00051D6D"/>
    <w:rsid w:val="000557C3"/>
    <w:rsid w:val="000618F9"/>
    <w:rsid w:val="00093F00"/>
    <w:rsid w:val="00095331"/>
    <w:rsid w:val="000A10C2"/>
    <w:rsid w:val="000A49FF"/>
    <w:rsid w:val="000A71F6"/>
    <w:rsid w:val="000B5332"/>
    <w:rsid w:val="000C216E"/>
    <w:rsid w:val="000C2F23"/>
    <w:rsid w:val="000C41A6"/>
    <w:rsid w:val="000E3A0A"/>
    <w:rsid w:val="00102B45"/>
    <w:rsid w:val="001054B6"/>
    <w:rsid w:val="00105FD4"/>
    <w:rsid w:val="0010669A"/>
    <w:rsid w:val="001067A8"/>
    <w:rsid w:val="00110268"/>
    <w:rsid w:val="001149C7"/>
    <w:rsid w:val="00120B93"/>
    <w:rsid w:val="001316A1"/>
    <w:rsid w:val="00136728"/>
    <w:rsid w:val="0014242A"/>
    <w:rsid w:val="00145343"/>
    <w:rsid w:val="0015706B"/>
    <w:rsid w:val="0016231B"/>
    <w:rsid w:val="001715C4"/>
    <w:rsid w:val="001827FC"/>
    <w:rsid w:val="00193DFC"/>
    <w:rsid w:val="001B38B0"/>
    <w:rsid w:val="001C31CE"/>
    <w:rsid w:val="001C483F"/>
    <w:rsid w:val="001D04F7"/>
    <w:rsid w:val="001E405E"/>
    <w:rsid w:val="001F28C8"/>
    <w:rsid w:val="001F6ECE"/>
    <w:rsid w:val="00212E62"/>
    <w:rsid w:val="00214728"/>
    <w:rsid w:val="00244207"/>
    <w:rsid w:val="0025677E"/>
    <w:rsid w:val="00261BD5"/>
    <w:rsid w:val="002746DA"/>
    <w:rsid w:val="00277985"/>
    <w:rsid w:val="00281F12"/>
    <w:rsid w:val="002B5BEB"/>
    <w:rsid w:val="002D7622"/>
    <w:rsid w:val="002F3E1D"/>
    <w:rsid w:val="002F4090"/>
    <w:rsid w:val="003202F2"/>
    <w:rsid w:val="00342023"/>
    <w:rsid w:val="00350779"/>
    <w:rsid w:val="00365A6C"/>
    <w:rsid w:val="0036761C"/>
    <w:rsid w:val="003704BB"/>
    <w:rsid w:val="00382D05"/>
    <w:rsid w:val="0038507F"/>
    <w:rsid w:val="003A5C13"/>
    <w:rsid w:val="003A6209"/>
    <w:rsid w:val="003A6A4B"/>
    <w:rsid w:val="003B0CA2"/>
    <w:rsid w:val="003B14C3"/>
    <w:rsid w:val="003C7CF7"/>
    <w:rsid w:val="003E28CE"/>
    <w:rsid w:val="003E5EFC"/>
    <w:rsid w:val="003F5A7E"/>
    <w:rsid w:val="003F7535"/>
    <w:rsid w:val="004048FD"/>
    <w:rsid w:val="00421304"/>
    <w:rsid w:val="004379EC"/>
    <w:rsid w:val="00462200"/>
    <w:rsid w:val="00464476"/>
    <w:rsid w:val="00467384"/>
    <w:rsid w:val="00481C34"/>
    <w:rsid w:val="00482E64"/>
    <w:rsid w:val="00486F49"/>
    <w:rsid w:val="004903F6"/>
    <w:rsid w:val="004A02B8"/>
    <w:rsid w:val="004A1F07"/>
    <w:rsid w:val="004B7786"/>
    <w:rsid w:val="004C4AC6"/>
    <w:rsid w:val="004C5B20"/>
    <w:rsid w:val="004C63A8"/>
    <w:rsid w:val="004D1D58"/>
    <w:rsid w:val="004D7FC6"/>
    <w:rsid w:val="004E6AAC"/>
    <w:rsid w:val="004E77C6"/>
    <w:rsid w:val="004F1800"/>
    <w:rsid w:val="004F49BE"/>
    <w:rsid w:val="004F5DD4"/>
    <w:rsid w:val="00502D84"/>
    <w:rsid w:val="005040EC"/>
    <w:rsid w:val="00504493"/>
    <w:rsid w:val="0053467F"/>
    <w:rsid w:val="005421E6"/>
    <w:rsid w:val="00542232"/>
    <w:rsid w:val="00542A20"/>
    <w:rsid w:val="005437CB"/>
    <w:rsid w:val="00543DC7"/>
    <w:rsid w:val="005606AD"/>
    <w:rsid w:val="00563A45"/>
    <w:rsid w:val="00565612"/>
    <w:rsid w:val="005829C8"/>
    <w:rsid w:val="00590A23"/>
    <w:rsid w:val="005A77E1"/>
    <w:rsid w:val="005B1CCC"/>
    <w:rsid w:val="005B5473"/>
    <w:rsid w:val="005B646B"/>
    <w:rsid w:val="005C1D01"/>
    <w:rsid w:val="005D2D66"/>
    <w:rsid w:val="005D3241"/>
    <w:rsid w:val="005F3837"/>
    <w:rsid w:val="005F724F"/>
    <w:rsid w:val="005F764C"/>
    <w:rsid w:val="00605AA4"/>
    <w:rsid w:val="00632955"/>
    <w:rsid w:val="00634034"/>
    <w:rsid w:val="0064034B"/>
    <w:rsid w:val="006444B8"/>
    <w:rsid w:val="006502AD"/>
    <w:rsid w:val="0065467E"/>
    <w:rsid w:val="00667DA4"/>
    <w:rsid w:val="00691675"/>
    <w:rsid w:val="00693CAE"/>
    <w:rsid w:val="006A47BC"/>
    <w:rsid w:val="006A75A7"/>
    <w:rsid w:val="006C0791"/>
    <w:rsid w:val="006D0DDA"/>
    <w:rsid w:val="006D20CC"/>
    <w:rsid w:val="006D3BA5"/>
    <w:rsid w:val="006D5325"/>
    <w:rsid w:val="006E02BE"/>
    <w:rsid w:val="006E6EE9"/>
    <w:rsid w:val="006F317F"/>
    <w:rsid w:val="007039BF"/>
    <w:rsid w:val="00704FA6"/>
    <w:rsid w:val="007140CC"/>
    <w:rsid w:val="00715919"/>
    <w:rsid w:val="00733B1A"/>
    <w:rsid w:val="00734396"/>
    <w:rsid w:val="00740FD5"/>
    <w:rsid w:val="007546F1"/>
    <w:rsid w:val="00763E43"/>
    <w:rsid w:val="00774EF4"/>
    <w:rsid w:val="007856D0"/>
    <w:rsid w:val="007955C9"/>
    <w:rsid w:val="007A04C4"/>
    <w:rsid w:val="007A518B"/>
    <w:rsid w:val="007A64B8"/>
    <w:rsid w:val="007C1633"/>
    <w:rsid w:val="007C5313"/>
    <w:rsid w:val="007C7DF1"/>
    <w:rsid w:val="007D3BE5"/>
    <w:rsid w:val="007D50EC"/>
    <w:rsid w:val="007E1101"/>
    <w:rsid w:val="007E4694"/>
    <w:rsid w:val="007F0A78"/>
    <w:rsid w:val="007F7C55"/>
    <w:rsid w:val="0080229E"/>
    <w:rsid w:val="008208E1"/>
    <w:rsid w:val="00830AE4"/>
    <w:rsid w:val="0083532E"/>
    <w:rsid w:val="008367A2"/>
    <w:rsid w:val="0083773D"/>
    <w:rsid w:val="00846E63"/>
    <w:rsid w:val="008520EC"/>
    <w:rsid w:val="00854B64"/>
    <w:rsid w:val="00856D1E"/>
    <w:rsid w:val="00866929"/>
    <w:rsid w:val="0087260D"/>
    <w:rsid w:val="00874D27"/>
    <w:rsid w:val="0088735E"/>
    <w:rsid w:val="008A01D5"/>
    <w:rsid w:val="008A0BB3"/>
    <w:rsid w:val="008B2086"/>
    <w:rsid w:val="008C4BBF"/>
    <w:rsid w:val="008C6D82"/>
    <w:rsid w:val="008E68A9"/>
    <w:rsid w:val="00906A85"/>
    <w:rsid w:val="00912193"/>
    <w:rsid w:val="00913082"/>
    <w:rsid w:val="009139CE"/>
    <w:rsid w:val="0091736A"/>
    <w:rsid w:val="00930C3D"/>
    <w:rsid w:val="00932861"/>
    <w:rsid w:val="00943322"/>
    <w:rsid w:val="00956D7C"/>
    <w:rsid w:val="00967CB5"/>
    <w:rsid w:val="00974805"/>
    <w:rsid w:val="0098357D"/>
    <w:rsid w:val="009878A7"/>
    <w:rsid w:val="00996E38"/>
    <w:rsid w:val="00997ABF"/>
    <w:rsid w:val="009A12CF"/>
    <w:rsid w:val="009A6C01"/>
    <w:rsid w:val="009B6DDD"/>
    <w:rsid w:val="009E20C1"/>
    <w:rsid w:val="009E2B51"/>
    <w:rsid w:val="009E42A5"/>
    <w:rsid w:val="009E7536"/>
    <w:rsid w:val="00A041AC"/>
    <w:rsid w:val="00A069B1"/>
    <w:rsid w:val="00A06A8E"/>
    <w:rsid w:val="00A11DA9"/>
    <w:rsid w:val="00A32892"/>
    <w:rsid w:val="00A33304"/>
    <w:rsid w:val="00A353E0"/>
    <w:rsid w:val="00A459B2"/>
    <w:rsid w:val="00A475BD"/>
    <w:rsid w:val="00A57BEB"/>
    <w:rsid w:val="00A7053D"/>
    <w:rsid w:val="00A70710"/>
    <w:rsid w:val="00A82A57"/>
    <w:rsid w:val="00A84A10"/>
    <w:rsid w:val="00A92AA7"/>
    <w:rsid w:val="00A94BF5"/>
    <w:rsid w:val="00AA2564"/>
    <w:rsid w:val="00AA45E9"/>
    <w:rsid w:val="00AB4DF2"/>
    <w:rsid w:val="00AC493D"/>
    <w:rsid w:val="00AE30DD"/>
    <w:rsid w:val="00AE480B"/>
    <w:rsid w:val="00AF699A"/>
    <w:rsid w:val="00AF799C"/>
    <w:rsid w:val="00B070B8"/>
    <w:rsid w:val="00B11E49"/>
    <w:rsid w:val="00B136E0"/>
    <w:rsid w:val="00B17295"/>
    <w:rsid w:val="00B239F1"/>
    <w:rsid w:val="00B2631E"/>
    <w:rsid w:val="00B26A27"/>
    <w:rsid w:val="00B313D3"/>
    <w:rsid w:val="00B32BE3"/>
    <w:rsid w:val="00B41198"/>
    <w:rsid w:val="00B412A8"/>
    <w:rsid w:val="00B4269F"/>
    <w:rsid w:val="00B42F53"/>
    <w:rsid w:val="00B65D25"/>
    <w:rsid w:val="00B73579"/>
    <w:rsid w:val="00B76FD4"/>
    <w:rsid w:val="00B920D7"/>
    <w:rsid w:val="00B97293"/>
    <w:rsid w:val="00BA1998"/>
    <w:rsid w:val="00BB1C23"/>
    <w:rsid w:val="00BB2B0C"/>
    <w:rsid w:val="00BB68A0"/>
    <w:rsid w:val="00BC2A4B"/>
    <w:rsid w:val="00BC3C04"/>
    <w:rsid w:val="00BC586A"/>
    <w:rsid w:val="00BD1F59"/>
    <w:rsid w:val="00BD43BD"/>
    <w:rsid w:val="00BF4376"/>
    <w:rsid w:val="00BF7413"/>
    <w:rsid w:val="00C0065C"/>
    <w:rsid w:val="00C00F43"/>
    <w:rsid w:val="00C046E1"/>
    <w:rsid w:val="00C16101"/>
    <w:rsid w:val="00C2279F"/>
    <w:rsid w:val="00C27CDB"/>
    <w:rsid w:val="00C31591"/>
    <w:rsid w:val="00C34D3B"/>
    <w:rsid w:val="00C36035"/>
    <w:rsid w:val="00C47201"/>
    <w:rsid w:val="00C80B99"/>
    <w:rsid w:val="00C81512"/>
    <w:rsid w:val="00C90839"/>
    <w:rsid w:val="00C933F7"/>
    <w:rsid w:val="00CB1BA0"/>
    <w:rsid w:val="00CB6406"/>
    <w:rsid w:val="00CC107A"/>
    <w:rsid w:val="00CC14DA"/>
    <w:rsid w:val="00CD1C48"/>
    <w:rsid w:val="00CD27AF"/>
    <w:rsid w:val="00CD73CB"/>
    <w:rsid w:val="00CE1D13"/>
    <w:rsid w:val="00CE3DC3"/>
    <w:rsid w:val="00CF7597"/>
    <w:rsid w:val="00D009A2"/>
    <w:rsid w:val="00D2512A"/>
    <w:rsid w:val="00D52EA4"/>
    <w:rsid w:val="00D54DAE"/>
    <w:rsid w:val="00D61514"/>
    <w:rsid w:val="00D64EEB"/>
    <w:rsid w:val="00D93D2D"/>
    <w:rsid w:val="00DA5777"/>
    <w:rsid w:val="00DB339E"/>
    <w:rsid w:val="00DC1C6F"/>
    <w:rsid w:val="00DC6B04"/>
    <w:rsid w:val="00DD4155"/>
    <w:rsid w:val="00DD721B"/>
    <w:rsid w:val="00DE2C52"/>
    <w:rsid w:val="00DE4A39"/>
    <w:rsid w:val="00DE5A66"/>
    <w:rsid w:val="00DF452D"/>
    <w:rsid w:val="00E061EA"/>
    <w:rsid w:val="00E42DAA"/>
    <w:rsid w:val="00E53137"/>
    <w:rsid w:val="00E54AE9"/>
    <w:rsid w:val="00E61985"/>
    <w:rsid w:val="00E61F89"/>
    <w:rsid w:val="00E82259"/>
    <w:rsid w:val="00E853E8"/>
    <w:rsid w:val="00E97C23"/>
    <w:rsid w:val="00EA4998"/>
    <w:rsid w:val="00EA7002"/>
    <w:rsid w:val="00EB0DE4"/>
    <w:rsid w:val="00EB3D99"/>
    <w:rsid w:val="00EB537E"/>
    <w:rsid w:val="00EE4314"/>
    <w:rsid w:val="00EE7A6A"/>
    <w:rsid w:val="00F11AFD"/>
    <w:rsid w:val="00F17704"/>
    <w:rsid w:val="00F21EDA"/>
    <w:rsid w:val="00F223EF"/>
    <w:rsid w:val="00F32792"/>
    <w:rsid w:val="00F42F23"/>
    <w:rsid w:val="00F4420A"/>
    <w:rsid w:val="00F511D3"/>
    <w:rsid w:val="00F513FC"/>
    <w:rsid w:val="00F56014"/>
    <w:rsid w:val="00F67FC9"/>
    <w:rsid w:val="00F7140E"/>
    <w:rsid w:val="00F71C85"/>
    <w:rsid w:val="00F777CE"/>
    <w:rsid w:val="00F872D5"/>
    <w:rsid w:val="00F91B11"/>
    <w:rsid w:val="00F95FFD"/>
    <w:rsid w:val="00FA264A"/>
    <w:rsid w:val="00FA3ECA"/>
    <w:rsid w:val="00FA48C5"/>
    <w:rsid w:val="00FC1311"/>
    <w:rsid w:val="00FC3E20"/>
    <w:rsid w:val="00FC46D5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D0D0D"/>
      <w:sz w:val="26"/>
      <w:szCs w:val="26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Cs/>
      <w:sz w:val="32"/>
      <w:szCs w:val="27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D0D0D"/>
      <w:sz w:val="26"/>
      <w:szCs w:val="26"/>
    </w:rPr>
  </w:style>
  <w:style w:type="paragraph" w:styleId="a6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character" w:customStyle="1" w:styleId="a5">
    <w:name w:val="Верхний колонтитул Знак"/>
    <w:link w:val="a4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color w:val="0D0D0D"/>
      <w:sz w:val="16"/>
      <w:szCs w:val="16"/>
    </w:rPr>
  </w:style>
  <w:style w:type="paragraph" w:customStyle="1" w:styleId="1">
    <w:name w:val="Знак Знак1"/>
    <w:basedOn w:val="a"/>
    <w:rsid w:val="003A6209"/>
    <w:pPr>
      <w:tabs>
        <w:tab w:val="num" w:pos="360"/>
      </w:tabs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3439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A02B8"/>
    <w:rPr>
      <w:color w:val="0000FF"/>
      <w:u w:val="single"/>
    </w:rPr>
  </w:style>
  <w:style w:type="table" w:styleId="ad">
    <w:name w:val="Table Grid"/>
    <w:basedOn w:val="a1"/>
    <w:rsid w:val="004F4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 Знак"/>
    <w:basedOn w:val="a"/>
    <w:autoRedefine/>
    <w:rsid w:val="00BF7413"/>
    <w:pPr>
      <w:spacing w:after="160" w:line="240" w:lineRule="exact"/>
    </w:pPr>
    <w:rPr>
      <w:color w:val="auto"/>
      <w:sz w:val="28"/>
      <w:szCs w:val="28"/>
      <w:lang w:val="en-US" w:eastAsia="en-US"/>
    </w:rPr>
  </w:style>
  <w:style w:type="paragraph" w:styleId="af">
    <w:name w:val="No Spacing"/>
    <w:uiPriority w:val="1"/>
    <w:qFormat/>
    <w:rsid w:val="00FA48C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D0D0D"/>
      <w:sz w:val="26"/>
      <w:szCs w:val="26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Cs/>
      <w:sz w:val="32"/>
      <w:szCs w:val="27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D0D0D"/>
      <w:sz w:val="26"/>
      <w:szCs w:val="26"/>
    </w:rPr>
  </w:style>
  <w:style w:type="paragraph" w:styleId="a6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character" w:customStyle="1" w:styleId="a5">
    <w:name w:val="Верхний колонтитул Знак"/>
    <w:link w:val="a4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color w:val="0D0D0D"/>
      <w:sz w:val="16"/>
      <w:szCs w:val="16"/>
    </w:rPr>
  </w:style>
  <w:style w:type="paragraph" w:customStyle="1" w:styleId="1">
    <w:name w:val="Знак Знак1"/>
    <w:basedOn w:val="a"/>
    <w:rsid w:val="003A6209"/>
    <w:pPr>
      <w:tabs>
        <w:tab w:val="num" w:pos="360"/>
      </w:tabs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3439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A02B8"/>
    <w:rPr>
      <w:color w:val="0000FF"/>
      <w:u w:val="single"/>
    </w:rPr>
  </w:style>
  <w:style w:type="table" w:styleId="ad">
    <w:name w:val="Table Grid"/>
    <w:basedOn w:val="a1"/>
    <w:rsid w:val="004F4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 Знак"/>
    <w:basedOn w:val="a"/>
    <w:autoRedefine/>
    <w:rsid w:val="00BF7413"/>
    <w:pPr>
      <w:spacing w:after="160" w:line="240" w:lineRule="exact"/>
    </w:pPr>
    <w:rPr>
      <w:color w:val="auto"/>
      <w:sz w:val="28"/>
      <w:szCs w:val="28"/>
      <w:lang w:val="en-US" w:eastAsia="en-US"/>
    </w:rPr>
  </w:style>
  <w:style w:type="paragraph" w:styleId="af">
    <w:name w:val="No Spacing"/>
    <w:uiPriority w:val="1"/>
    <w:qFormat/>
    <w:rsid w:val="00FA48C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21FF1E1B5DE8F9A1547427A5BFD0B7C9740153C8084B52B1A4F1A0A8D5D5CE176CE1C991499249C141C0F6E72DA73EE67FB4AD00972812lB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40EA-66F3-4DE7-A4E1-D3C31C9A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1458</Words>
  <Characters>10681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БЛАНКА</vt:lpstr>
    </vt:vector>
  </TitlesOfParts>
  <Company>MoBIL GROUP</Company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БЛАНКА</dc:title>
  <dc:creator>Кузьмин Дмитрий Николаевич</dc:creator>
  <cp:lastModifiedBy>Трофименко Наталья Александровна</cp:lastModifiedBy>
  <cp:revision>27</cp:revision>
  <cp:lastPrinted>2019-11-25T06:41:00Z</cp:lastPrinted>
  <dcterms:created xsi:type="dcterms:W3CDTF">2019-11-01T07:48:00Z</dcterms:created>
  <dcterms:modified xsi:type="dcterms:W3CDTF">2019-11-25T13:19:00Z</dcterms:modified>
</cp:coreProperties>
</file>